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21AD2" w:rsidP="00B61EAD" w:rsidRDefault="00C21AD2" w14:paraId="795D913E" w14:textId="0D9F9CF7">
      <w:pPr>
        <w:pStyle w:val="NoSpacing"/>
        <w:ind w:firstLine="7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Rhode Island </w:t>
      </w:r>
      <w:r w:rsidR="00EC1C1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Court Considers Asbestos-Defendants’ </w:t>
      </w:r>
      <w:r w:rsidR="007E679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Daubert</w:t>
      </w:r>
      <w:r w:rsidR="00FF0D5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C1C12">
        <w:rPr>
          <w:rFonts w:ascii="Times New Roman" w:hAnsi="Times New Roman" w:cs="Times New Roman"/>
          <w:b/>
          <w:bCs/>
          <w:sz w:val="24"/>
          <w:szCs w:val="24"/>
          <w:u w:val="single"/>
        </w:rPr>
        <w:t>Motions</w:t>
      </w:r>
    </w:p>
    <w:p w:rsidRPr="004C1267" w:rsidR="00515D40" w:rsidP="00B61EAD" w:rsidRDefault="00515D40" w14:paraId="677302F5" w14:textId="77777777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4A071A" w:rsidP="00761824" w:rsidRDefault="002715F1" w14:paraId="143CC9B5" w14:textId="41BAC6C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1824">
        <w:rPr>
          <w:rFonts w:ascii="Times New Roman" w:hAnsi="Times New Roman" w:cs="Times New Roman"/>
          <w:sz w:val="24"/>
          <w:szCs w:val="24"/>
        </w:rPr>
        <w:t xml:space="preserve">Judge </w:t>
      </w:r>
      <w:r w:rsidR="00BE6DDC">
        <w:rPr>
          <w:rFonts w:ascii="Times New Roman" w:hAnsi="Times New Roman" w:cs="Times New Roman"/>
          <w:sz w:val="24"/>
          <w:szCs w:val="24"/>
        </w:rPr>
        <w:t>Richard A.</w:t>
      </w:r>
      <w:r w:rsidRPr="00761824" w:rsidR="007E679E">
        <w:rPr>
          <w:rFonts w:ascii="Times New Roman" w:hAnsi="Times New Roman" w:cs="Times New Roman"/>
          <w:sz w:val="24"/>
          <w:szCs w:val="24"/>
        </w:rPr>
        <w:t xml:space="preserve"> </w:t>
      </w:r>
      <w:r w:rsidRPr="00761824">
        <w:rPr>
          <w:rFonts w:ascii="Times New Roman" w:hAnsi="Times New Roman" w:cs="Times New Roman"/>
          <w:sz w:val="24"/>
          <w:szCs w:val="24"/>
        </w:rPr>
        <w:t xml:space="preserve">Licht </w:t>
      </w:r>
      <w:r w:rsidRPr="00761824" w:rsidR="007E679E">
        <w:rPr>
          <w:rFonts w:ascii="Times New Roman" w:hAnsi="Times New Roman" w:cs="Times New Roman"/>
          <w:sz w:val="24"/>
          <w:szCs w:val="24"/>
        </w:rPr>
        <w:t xml:space="preserve">of </w:t>
      </w:r>
      <w:r w:rsidRPr="00761824">
        <w:rPr>
          <w:rFonts w:ascii="Times New Roman" w:hAnsi="Times New Roman" w:cs="Times New Roman"/>
          <w:sz w:val="24"/>
          <w:szCs w:val="24"/>
        </w:rPr>
        <w:t xml:space="preserve">the Rhode Island Superior Court recently </w:t>
      </w:r>
      <w:r w:rsidRPr="00761824" w:rsidR="00EC1C12">
        <w:rPr>
          <w:rFonts w:ascii="Times New Roman" w:hAnsi="Times New Roman" w:cs="Times New Roman"/>
          <w:sz w:val="24"/>
          <w:szCs w:val="24"/>
        </w:rPr>
        <w:t>considered</w:t>
      </w:r>
      <w:r w:rsidR="009C5FBE">
        <w:rPr>
          <w:rFonts w:ascii="Times New Roman" w:hAnsi="Times New Roman" w:cs="Times New Roman"/>
          <w:sz w:val="24"/>
          <w:szCs w:val="24"/>
        </w:rPr>
        <w:t xml:space="preserve"> Defendants’</w:t>
      </w:r>
      <w:r w:rsidRPr="00761824" w:rsidR="00EC1C12">
        <w:rPr>
          <w:rFonts w:ascii="Times New Roman" w:hAnsi="Times New Roman" w:cs="Times New Roman"/>
          <w:sz w:val="24"/>
          <w:szCs w:val="24"/>
        </w:rPr>
        <w:t xml:space="preserve"> </w:t>
      </w:r>
      <w:r w:rsidRPr="00761824" w:rsidR="00EC1C12">
        <w:rPr>
          <w:rFonts w:ascii="Times New Roman" w:hAnsi="Times New Roman" w:cs="Times New Roman"/>
          <w:i/>
          <w:iCs/>
          <w:sz w:val="24"/>
          <w:szCs w:val="24"/>
        </w:rPr>
        <w:t xml:space="preserve">Daubert </w:t>
      </w:r>
      <w:r w:rsidRPr="00761824" w:rsidR="00EC1C12">
        <w:rPr>
          <w:rFonts w:ascii="Times New Roman" w:hAnsi="Times New Roman" w:cs="Times New Roman"/>
          <w:sz w:val="24"/>
          <w:szCs w:val="24"/>
        </w:rPr>
        <w:t>challenges</w:t>
      </w:r>
      <w:r w:rsidR="00FF0D57">
        <w:rPr>
          <w:rFonts w:ascii="Times New Roman" w:hAnsi="Times New Roman" w:cs="Times New Roman"/>
          <w:sz w:val="24"/>
          <w:szCs w:val="24"/>
        </w:rPr>
        <w:t xml:space="preserve"> to two Plaintiff experts, Dr. </w:t>
      </w:r>
      <w:r w:rsidRPr="001F3F45" w:rsidR="00FF0D57">
        <w:rPr>
          <w:rFonts w:ascii="Times New Roman" w:hAnsi="Times New Roman" w:cs="Times New Roman"/>
          <w:sz w:val="24"/>
          <w:szCs w:val="24"/>
        </w:rPr>
        <w:t>Richard L. Kradin</w:t>
      </w:r>
      <w:r w:rsidR="00FF0D57">
        <w:rPr>
          <w:rFonts w:ascii="Times New Roman" w:hAnsi="Times New Roman" w:cs="Times New Roman"/>
          <w:sz w:val="24"/>
          <w:szCs w:val="24"/>
        </w:rPr>
        <w:t xml:space="preserve"> (Dr. Kradin) and Dr. </w:t>
      </w:r>
      <w:r w:rsidRPr="001F3F45" w:rsidR="00FF0D57">
        <w:rPr>
          <w:rFonts w:ascii="Times New Roman" w:hAnsi="Times New Roman" w:cs="Times New Roman"/>
          <w:sz w:val="24"/>
          <w:szCs w:val="24"/>
        </w:rPr>
        <w:t>Michael J. Ellenbecker</w:t>
      </w:r>
      <w:r w:rsidR="00FF0D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F0D57">
        <w:rPr>
          <w:rFonts w:ascii="Times New Roman" w:hAnsi="Times New Roman" w:cs="Times New Roman"/>
          <w:sz w:val="24"/>
          <w:szCs w:val="24"/>
        </w:rPr>
        <w:t>CIH</w:t>
      </w:r>
      <w:proofErr w:type="spellEnd"/>
      <w:r w:rsidR="00FF0D57">
        <w:rPr>
          <w:rFonts w:ascii="Times New Roman" w:hAnsi="Times New Roman" w:cs="Times New Roman"/>
          <w:sz w:val="24"/>
          <w:szCs w:val="24"/>
        </w:rPr>
        <w:t>,</w:t>
      </w:r>
      <w:r w:rsidR="000A593D">
        <w:rPr>
          <w:rFonts w:ascii="Times New Roman" w:hAnsi="Times New Roman" w:cs="Times New Roman"/>
          <w:sz w:val="24"/>
          <w:szCs w:val="24"/>
        </w:rPr>
        <w:t xml:space="preserve"> (Dr. Ellenbecker)</w:t>
      </w:r>
      <w:r w:rsidRPr="00761824" w:rsidR="00EC1C12">
        <w:rPr>
          <w:rFonts w:ascii="Times New Roman" w:hAnsi="Times New Roman" w:cs="Times New Roman"/>
          <w:sz w:val="24"/>
          <w:szCs w:val="24"/>
        </w:rPr>
        <w:t xml:space="preserve"> </w:t>
      </w:r>
      <w:r w:rsidR="00EC1C12">
        <w:rPr>
          <w:rFonts w:ascii="Times New Roman" w:hAnsi="Times New Roman" w:cs="Times New Roman"/>
          <w:sz w:val="24"/>
          <w:szCs w:val="24"/>
        </w:rPr>
        <w:t>i</w:t>
      </w:r>
      <w:r w:rsidRPr="001F3F45">
        <w:rPr>
          <w:rFonts w:ascii="Times New Roman" w:hAnsi="Times New Roman" w:cs="Times New Roman"/>
          <w:sz w:val="24"/>
          <w:szCs w:val="24"/>
        </w:rPr>
        <w:t>n</w:t>
      </w:r>
      <w:r w:rsidR="00FF0D57">
        <w:rPr>
          <w:rFonts w:ascii="Times New Roman" w:hAnsi="Times New Roman" w:cs="Times New Roman"/>
          <w:sz w:val="24"/>
          <w:szCs w:val="24"/>
        </w:rPr>
        <w:t xml:space="preserve"> </w:t>
      </w:r>
      <w:r w:rsidR="00FF0D57">
        <w:rPr>
          <w:rFonts w:ascii="Times New Roman" w:hAnsi="Times New Roman" w:cs="Times New Roman"/>
          <w:i/>
          <w:iCs/>
          <w:sz w:val="24"/>
          <w:szCs w:val="24"/>
        </w:rPr>
        <w:t>Day</w:t>
      </w:r>
      <w:r w:rsidR="00761824">
        <w:rPr>
          <w:rFonts w:ascii="Times New Roman" w:hAnsi="Times New Roman" w:cs="Times New Roman"/>
          <w:i/>
          <w:iCs/>
          <w:sz w:val="24"/>
          <w:szCs w:val="24"/>
        </w:rPr>
        <w:t xml:space="preserve"> v. 3M Co</w:t>
      </w:r>
      <w:r w:rsidR="00FF0D5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61824">
        <w:rPr>
          <w:rFonts w:ascii="Times New Roman" w:hAnsi="Times New Roman" w:cs="Times New Roman"/>
          <w:i/>
          <w:iCs/>
          <w:sz w:val="24"/>
          <w:szCs w:val="24"/>
        </w:rPr>
        <w:t xml:space="preserve"> Inc.</w:t>
      </w:r>
      <w:r w:rsidR="00800B12">
        <w:rPr>
          <w:rFonts w:ascii="Times New Roman" w:hAnsi="Times New Roman" w:cs="Times New Roman"/>
          <w:sz w:val="24"/>
          <w:szCs w:val="24"/>
        </w:rPr>
        <w:t xml:space="preserve">, </w:t>
      </w:r>
      <w:r w:rsidR="000B01D8">
        <w:rPr>
          <w:rFonts w:ascii="Times New Roman" w:hAnsi="Times New Roman" w:cs="Times New Roman"/>
          <w:sz w:val="24"/>
          <w:szCs w:val="24"/>
        </w:rPr>
        <w:t xml:space="preserve">No. </w:t>
      </w:r>
      <w:r w:rsidRPr="00513346" w:rsidR="00513346">
        <w:rPr>
          <w:rFonts w:ascii="Times New Roman" w:hAnsi="Times New Roman" w:cs="Times New Roman"/>
          <w:sz w:val="24"/>
          <w:szCs w:val="24"/>
        </w:rPr>
        <w:t>PC-2018-5044</w:t>
      </w:r>
      <w:r w:rsidR="00513346">
        <w:rPr>
          <w:rFonts w:ascii="Times New Roman" w:hAnsi="Times New Roman" w:cs="Times New Roman"/>
          <w:sz w:val="24"/>
          <w:szCs w:val="24"/>
        </w:rPr>
        <w:t xml:space="preserve">, </w:t>
      </w:r>
      <w:r w:rsidR="00800B12">
        <w:rPr>
          <w:rFonts w:ascii="Times New Roman" w:hAnsi="Times New Roman" w:cs="Times New Roman"/>
          <w:sz w:val="24"/>
          <w:szCs w:val="24"/>
        </w:rPr>
        <w:t>2024 R.I. Super. LEXIS 95 (R.I. Super., October 11, 2024)</w:t>
      </w:r>
      <w:r w:rsidR="00EC1C12">
        <w:rPr>
          <w:rFonts w:ascii="Times New Roman" w:hAnsi="Times New Roman" w:cs="Times New Roman"/>
          <w:sz w:val="24"/>
          <w:szCs w:val="24"/>
        </w:rPr>
        <w:t xml:space="preserve"> </w:t>
      </w:r>
      <w:r w:rsidR="00BE6DDC">
        <w:rPr>
          <w:rFonts w:ascii="Times New Roman" w:hAnsi="Times New Roman" w:cs="Times New Roman"/>
          <w:sz w:val="24"/>
          <w:szCs w:val="24"/>
        </w:rPr>
        <w:t>–</w:t>
      </w:r>
      <w:r w:rsidR="00EC1C12">
        <w:rPr>
          <w:rFonts w:ascii="Times New Roman" w:hAnsi="Times New Roman" w:cs="Times New Roman"/>
          <w:sz w:val="24"/>
          <w:szCs w:val="24"/>
        </w:rPr>
        <w:t xml:space="preserve"> a case </w:t>
      </w:r>
      <w:r w:rsidR="008D59F6">
        <w:rPr>
          <w:rFonts w:ascii="Times New Roman" w:hAnsi="Times New Roman" w:cs="Times New Roman"/>
          <w:sz w:val="24"/>
          <w:szCs w:val="24"/>
        </w:rPr>
        <w:t>alleging</w:t>
      </w:r>
      <w:r w:rsidR="00EC1C12">
        <w:rPr>
          <w:rFonts w:ascii="Times New Roman" w:hAnsi="Times New Roman" w:cs="Times New Roman"/>
          <w:sz w:val="24"/>
          <w:szCs w:val="24"/>
        </w:rPr>
        <w:t xml:space="preserve"> that</w:t>
      </w:r>
      <w:r w:rsidRPr="001F3F45">
        <w:rPr>
          <w:rFonts w:ascii="Times New Roman" w:hAnsi="Times New Roman" w:cs="Times New Roman"/>
          <w:sz w:val="24"/>
          <w:szCs w:val="24"/>
        </w:rPr>
        <w:t xml:space="preserve"> </w:t>
      </w:r>
      <w:r w:rsidR="00FF0D57">
        <w:rPr>
          <w:rFonts w:ascii="Times New Roman" w:hAnsi="Times New Roman" w:cs="Times New Roman"/>
          <w:sz w:val="24"/>
          <w:szCs w:val="24"/>
        </w:rPr>
        <w:t xml:space="preserve">Plaintiffs’ decedent, </w:t>
      </w:r>
      <w:r w:rsidRPr="001F3F45" w:rsidR="005160E9">
        <w:rPr>
          <w:rFonts w:ascii="Times New Roman" w:hAnsi="Times New Roman" w:cs="Times New Roman"/>
          <w:sz w:val="24"/>
          <w:szCs w:val="24"/>
        </w:rPr>
        <w:t>Bonnie Bonito (Mrs. Bonito</w:t>
      </w:r>
      <w:r w:rsidRPr="001F3F45" w:rsidR="00100E8F">
        <w:rPr>
          <w:rFonts w:ascii="Times New Roman" w:hAnsi="Times New Roman" w:cs="Times New Roman"/>
          <w:sz w:val="24"/>
          <w:szCs w:val="24"/>
        </w:rPr>
        <w:t>)</w:t>
      </w:r>
      <w:r w:rsidR="00FF0D57">
        <w:rPr>
          <w:rFonts w:ascii="Times New Roman" w:hAnsi="Times New Roman" w:cs="Times New Roman"/>
          <w:sz w:val="24"/>
          <w:szCs w:val="24"/>
        </w:rPr>
        <w:t>,</w:t>
      </w:r>
      <w:r w:rsidRPr="001F3F45" w:rsidR="00100E8F">
        <w:rPr>
          <w:rFonts w:ascii="Times New Roman" w:hAnsi="Times New Roman" w:cs="Times New Roman"/>
          <w:sz w:val="24"/>
          <w:szCs w:val="24"/>
        </w:rPr>
        <w:t xml:space="preserve"> developed</w:t>
      </w:r>
      <w:r w:rsidR="007E679E">
        <w:rPr>
          <w:rFonts w:ascii="Times New Roman" w:hAnsi="Times New Roman" w:cs="Times New Roman"/>
          <w:sz w:val="24"/>
          <w:szCs w:val="24"/>
        </w:rPr>
        <w:t xml:space="preserve"> </w:t>
      </w:r>
      <w:r w:rsidRPr="001F3F45" w:rsidR="00100E8F">
        <w:rPr>
          <w:rFonts w:ascii="Times New Roman" w:hAnsi="Times New Roman" w:cs="Times New Roman"/>
          <w:sz w:val="24"/>
          <w:szCs w:val="24"/>
        </w:rPr>
        <w:t xml:space="preserve">mesothelioma </w:t>
      </w:r>
      <w:r w:rsidR="000A593D">
        <w:rPr>
          <w:rFonts w:ascii="Times New Roman" w:hAnsi="Times New Roman" w:cs="Times New Roman"/>
          <w:sz w:val="24"/>
          <w:szCs w:val="24"/>
        </w:rPr>
        <w:t xml:space="preserve">through </w:t>
      </w:r>
      <w:r w:rsidR="003B0337">
        <w:rPr>
          <w:rFonts w:ascii="Times New Roman" w:hAnsi="Times New Roman" w:cs="Times New Roman"/>
          <w:sz w:val="24"/>
          <w:szCs w:val="24"/>
        </w:rPr>
        <w:t xml:space="preserve">para-occupational asbestos </w:t>
      </w:r>
      <w:r w:rsidR="007E679E">
        <w:rPr>
          <w:rFonts w:ascii="Times New Roman" w:hAnsi="Times New Roman" w:cs="Times New Roman"/>
          <w:sz w:val="24"/>
          <w:szCs w:val="24"/>
        </w:rPr>
        <w:t xml:space="preserve">exposure </w:t>
      </w:r>
      <w:r w:rsidR="003B0337">
        <w:rPr>
          <w:rFonts w:ascii="Times New Roman" w:hAnsi="Times New Roman" w:cs="Times New Roman"/>
          <w:sz w:val="24"/>
          <w:szCs w:val="24"/>
        </w:rPr>
        <w:t>from</w:t>
      </w:r>
      <w:r w:rsidR="00C21AD2">
        <w:rPr>
          <w:rFonts w:ascii="Times New Roman" w:hAnsi="Times New Roman" w:cs="Times New Roman"/>
          <w:sz w:val="24"/>
          <w:szCs w:val="24"/>
        </w:rPr>
        <w:t xml:space="preserve"> </w:t>
      </w:r>
      <w:r w:rsidRPr="001F3F45" w:rsidR="00100E8F">
        <w:rPr>
          <w:rFonts w:ascii="Times New Roman" w:hAnsi="Times New Roman" w:cs="Times New Roman"/>
          <w:sz w:val="24"/>
          <w:szCs w:val="24"/>
        </w:rPr>
        <w:t xml:space="preserve">laundering </w:t>
      </w:r>
      <w:r w:rsidR="00EC1C12">
        <w:rPr>
          <w:rFonts w:ascii="Times New Roman" w:hAnsi="Times New Roman" w:cs="Times New Roman"/>
          <w:sz w:val="24"/>
          <w:szCs w:val="24"/>
        </w:rPr>
        <w:t xml:space="preserve">the </w:t>
      </w:r>
      <w:r w:rsidRPr="001F3F45" w:rsidR="00100E8F">
        <w:rPr>
          <w:rFonts w:ascii="Times New Roman" w:hAnsi="Times New Roman" w:cs="Times New Roman"/>
          <w:sz w:val="24"/>
          <w:szCs w:val="24"/>
        </w:rPr>
        <w:t>work clothes</w:t>
      </w:r>
      <w:r w:rsidR="00EC1C12">
        <w:rPr>
          <w:rFonts w:ascii="Times New Roman" w:hAnsi="Times New Roman" w:cs="Times New Roman"/>
          <w:sz w:val="24"/>
          <w:szCs w:val="24"/>
        </w:rPr>
        <w:t xml:space="preserve"> of </w:t>
      </w:r>
      <w:r w:rsidRPr="001F3F45" w:rsidR="00EC1C12">
        <w:rPr>
          <w:rFonts w:ascii="Times New Roman" w:hAnsi="Times New Roman" w:cs="Times New Roman"/>
          <w:sz w:val="24"/>
          <w:szCs w:val="24"/>
        </w:rPr>
        <w:t>her ex-husband</w:t>
      </w:r>
      <w:r w:rsidR="008D59F6">
        <w:rPr>
          <w:rFonts w:ascii="Times New Roman" w:hAnsi="Times New Roman" w:cs="Times New Roman"/>
          <w:sz w:val="24"/>
          <w:szCs w:val="24"/>
        </w:rPr>
        <w:t xml:space="preserve">, </w:t>
      </w:r>
      <w:r w:rsidR="00EC1C12">
        <w:rPr>
          <w:rFonts w:ascii="Times New Roman" w:hAnsi="Times New Roman" w:cs="Times New Roman"/>
          <w:sz w:val="24"/>
          <w:szCs w:val="24"/>
        </w:rPr>
        <w:t>who</w:t>
      </w:r>
      <w:r w:rsidRPr="001F3F45" w:rsidR="00100E8F">
        <w:rPr>
          <w:rFonts w:ascii="Times New Roman" w:hAnsi="Times New Roman" w:cs="Times New Roman"/>
          <w:sz w:val="24"/>
          <w:szCs w:val="24"/>
        </w:rPr>
        <w:t xml:space="preserve"> owned and operated </w:t>
      </w:r>
      <w:r w:rsidR="00EC1C12">
        <w:rPr>
          <w:rFonts w:ascii="Times New Roman" w:hAnsi="Times New Roman" w:cs="Times New Roman"/>
          <w:sz w:val="24"/>
          <w:szCs w:val="24"/>
        </w:rPr>
        <w:t>a</w:t>
      </w:r>
      <w:r w:rsidRPr="001F3F45" w:rsidR="00100E8F">
        <w:rPr>
          <w:rFonts w:ascii="Times New Roman" w:hAnsi="Times New Roman" w:cs="Times New Roman"/>
          <w:sz w:val="24"/>
          <w:szCs w:val="24"/>
        </w:rPr>
        <w:t xml:space="preserve"> construction company</w:t>
      </w:r>
      <w:r w:rsidR="008D59F6">
        <w:rPr>
          <w:rFonts w:ascii="Times New Roman" w:hAnsi="Times New Roman" w:cs="Times New Roman"/>
          <w:sz w:val="24"/>
          <w:szCs w:val="24"/>
        </w:rPr>
        <w:t>, from 1966 to 1990</w:t>
      </w:r>
      <w:r w:rsidR="00EC1C12">
        <w:rPr>
          <w:rFonts w:ascii="Times New Roman" w:hAnsi="Times New Roman" w:cs="Times New Roman"/>
          <w:sz w:val="24"/>
          <w:szCs w:val="24"/>
        </w:rPr>
        <w:t>.</w:t>
      </w:r>
      <w:r w:rsidR="004A07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71A" w:rsidP="00761824" w:rsidRDefault="004A071A" w14:paraId="1F73A4C9" w14:textId="7777777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C1C12" w:rsidP="00730980" w:rsidRDefault="00F72F46" w14:paraId="6C175EBD" w14:textId="35E401B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</w:t>
      </w:r>
      <w:r w:rsidRPr="00730980" w:rsidR="004A071A">
        <w:rPr>
          <w:rFonts w:ascii="Times New Roman" w:hAnsi="Times New Roman" w:cs="Times New Roman"/>
          <w:i/>
          <w:iCs/>
          <w:sz w:val="24"/>
          <w:szCs w:val="24"/>
        </w:rPr>
        <w:t>Daubert</w:t>
      </w:r>
      <w:r w:rsidR="000A593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4A07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Rhode Island Courts consider the following factors in assessing the reliability of an expert’s methodology: </w:t>
      </w:r>
      <w:r w:rsidR="00A207B6">
        <w:rPr>
          <w:rFonts w:ascii="Times New Roman" w:hAnsi="Times New Roman" w:cs="Times New Roman"/>
          <w:sz w:val="24"/>
          <w:szCs w:val="24"/>
        </w:rPr>
        <w:t xml:space="preserve"> </w:t>
      </w:r>
      <w:r w:rsidRPr="00A207B6" w:rsidR="00A207B6">
        <w:rPr>
          <w:rFonts w:ascii="Times New Roman" w:hAnsi="Times New Roman" w:cs="Times New Roman"/>
          <w:sz w:val="24"/>
          <w:szCs w:val="24"/>
        </w:rPr>
        <w:t>(1)</w:t>
      </w:r>
      <w:r w:rsidR="00A207B6">
        <w:rPr>
          <w:rFonts w:ascii="Times New Roman" w:hAnsi="Times New Roman" w:cs="Times New Roman"/>
          <w:sz w:val="24"/>
          <w:szCs w:val="24"/>
        </w:rPr>
        <w:t xml:space="preserve"> </w:t>
      </w:r>
      <w:r w:rsidRPr="00A207B6" w:rsidR="00A207B6">
        <w:rPr>
          <w:rFonts w:ascii="Times New Roman" w:hAnsi="Times New Roman" w:cs="Times New Roman"/>
          <w:sz w:val="24"/>
          <w:szCs w:val="24"/>
        </w:rPr>
        <w:t xml:space="preserve">whether the expert’s theory or technique </w:t>
      </w:r>
      <w:r w:rsidR="00A22EDD">
        <w:rPr>
          <w:rFonts w:ascii="Times New Roman" w:hAnsi="Times New Roman" w:cs="Times New Roman"/>
          <w:sz w:val="24"/>
          <w:szCs w:val="24"/>
        </w:rPr>
        <w:t>can be</w:t>
      </w:r>
      <w:r>
        <w:rPr>
          <w:rFonts w:ascii="Times New Roman" w:hAnsi="Times New Roman" w:cs="Times New Roman"/>
          <w:sz w:val="24"/>
          <w:szCs w:val="24"/>
        </w:rPr>
        <w:t>/has been</w:t>
      </w:r>
      <w:r w:rsidR="00A22EDD">
        <w:rPr>
          <w:rFonts w:ascii="Times New Roman" w:hAnsi="Times New Roman" w:cs="Times New Roman"/>
          <w:sz w:val="24"/>
          <w:szCs w:val="24"/>
        </w:rPr>
        <w:t xml:space="preserve"> tested</w:t>
      </w:r>
      <w:r w:rsidRPr="00A207B6" w:rsidR="00A207B6">
        <w:rPr>
          <w:rFonts w:ascii="Times New Roman" w:hAnsi="Times New Roman" w:cs="Times New Roman"/>
          <w:sz w:val="24"/>
          <w:szCs w:val="24"/>
        </w:rPr>
        <w:t>;</w:t>
      </w:r>
      <w:r w:rsidR="00A207B6">
        <w:rPr>
          <w:rFonts w:ascii="Times New Roman" w:hAnsi="Times New Roman" w:cs="Times New Roman"/>
          <w:sz w:val="24"/>
          <w:szCs w:val="24"/>
        </w:rPr>
        <w:t xml:space="preserve"> </w:t>
      </w:r>
      <w:r w:rsidRPr="00A207B6" w:rsidR="00A207B6">
        <w:rPr>
          <w:rFonts w:ascii="Times New Roman" w:hAnsi="Times New Roman" w:cs="Times New Roman"/>
          <w:sz w:val="24"/>
          <w:szCs w:val="24"/>
        </w:rPr>
        <w:t xml:space="preserve">(2) whether the technique or theory </w:t>
      </w:r>
      <w:r>
        <w:rPr>
          <w:rFonts w:ascii="Times New Roman" w:hAnsi="Times New Roman" w:cs="Times New Roman"/>
          <w:sz w:val="24"/>
          <w:szCs w:val="24"/>
        </w:rPr>
        <w:t>was</w:t>
      </w:r>
      <w:r w:rsidRPr="00A207B6" w:rsidR="00A207B6">
        <w:rPr>
          <w:rFonts w:ascii="Times New Roman" w:hAnsi="Times New Roman" w:cs="Times New Roman"/>
          <w:sz w:val="24"/>
          <w:szCs w:val="24"/>
        </w:rPr>
        <w:t xml:space="preserve"> subject to peer review and publication:</w:t>
      </w:r>
      <w:r w:rsidR="00A207B6">
        <w:rPr>
          <w:rFonts w:ascii="Times New Roman" w:hAnsi="Times New Roman" w:cs="Times New Roman"/>
          <w:sz w:val="24"/>
          <w:szCs w:val="24"/>
        </w:rPr>
        <w:t xml:space="preserve"> </w:t>
      </w:r>
      <w:r w:rsidRPr="00A207B6" w:rsidR="00A207B6">
        <w:rPr>
          <w:rFonts w:ascii="Times New Roman" w:hAnsi="Times New Roman" w:cs="Times New Roman"/>
          <w:sz w:val="24"/>
          <w:szCs w:val="24"/>
        </w:rPr>
        <w:t>(3)</w:t>
      </w:r>
      <w:r w:rsidR="00A207B6">
        <w:rPr>
          <w:rFonts w:ascii="Times New Roman" w:hAnsi="Times New Roman" w:cs="Times New Roman"/>
          <w:sz w:val="24"/>
          <w:szCs w:val="24"/>
        </w:rPr>
        <w:t xml:space="preserve"> t</w:t>
      </w:r>
      <w:r w:rsidRPr="00A207B6" w:rsidR="00A207B6">
        <w:rPr>
          <w:rFonts w:ascii="Times New Roman" w:hAnsi="Times New Roman" w:cs="Times New Roman"/>
          <w:sz w:val="24"/>
          <w:szCs w:val="24"/>
        </w:rPr>
        <w:t>he known or potential rate of error of the technique or theory when applied;</w:t>
      </w:r>
      <w:r w:rsidR="00A207B6">
        <w:rPr>
          <w:rFonts w:ascii="Times New Roman" w:hAnsi="Times New Roman" w:cs="Times New Roman"/>
          <w:sz w:val="24"/>
          <w:szCs w:val="24"/>
        </w:rPr>
        <w:t xml:space="preserve"> </w:t>
      </w:r>
      <w:r w:rsidRPr="00A207B6" w:rsidR="00A207B6">
        <w:rPr>
          <w:rFonts w:ascii="Times New Roman" w:hAnsi="Times New Roman" w:cs="Times New Roman"/>
          <w:sz w:val="24"/>
          <w:szCs w:val="24"/>
        </w:rPr>
        <w:t>(4)</w:t>
      </w:r>
      <w:r w:rsidR="00A207B6">
        <w:rPr>
          <w:rFonts w:ascii="Times New Roman" w:hAnsi="Times New Roman" w:cs="Times New Roman"/>
          <w:sz w:val="24"/>
          <w:szCs w:val="24"/>
        </w:rPr>
        <w:t xml:space="preserve"> t</w:t>
      </w:r>
      <w:r w:rsidRPr="00A207B6" w:rsidR="00A207B6">
        <w:rPr>
          <w:rFonts w:ascii="Times New Roman" w:hAnsi="Times New Roman" w:cs="Times New Roman"/>
          <w:sz w:val="24"/>
          <w:szCs w:val="24"/>
        </w:rPr>
        <w:t>he existence and maintenance of standards and controls; and</w:t>
      </w:r>
      <w:r w:rsidR="00A207B6">
        <w:rPr>
          <w:rFonts w:ascii="Times New Roman" w:hAnsi="Times New Roman" w:cs="Times New Roman"/>
          <w:sz w:val="24"/>
          <w:szCs w:val="24"/>
        </w:rPr>
        <w:t xml:space="preserve"> </w:t>
      </w:r>
      <w:r w:rsidRPr="00A207B6" w:rsidR="00A207B6">
        <w:rPr>
          <w:rFonts w:ascii="Times New Roman" w:hAnsi="Times New Roman" w:cs="Times New Roman"/>
          <w:sz w:val="24"/>
          <w:szCs w:val="24"/>
        </w:rPr>
        <w:t>(5)</w:t>
      </w:r>
      <w:r w:rsidR="00A207B6">
        <w:rPr>
          <w:rFonts w:ascii="Times New Roman" w:hAnsi="Times New Roman" w:cs="Times New Roman"/>
          <w:sz w:val="24"/>
          <w:szCs w:val="24"/>
        </w:rPr>
        <w:t xml:space="preserve"> w</w:t>
      </w:r>
      <w:r w:rsidRPr="00A207B6" w:rsidR="00A207B6">
        <w:rPr>
          <w:rFonts w:ascii="Times New Roman" w:hAnsi="Times New Roman" w:cs="Times New Roman"/>
          <w:sz w:val="24"/>
          <w:szCs w:val="24"/>
        </w:rPr>
        <w:t xml:space="preserve">hether the technique or theory 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A207B6" w:rsidR="00A207B6">
        <w:rPr>
          <w:rFonts w:ascii="Times New Roman" w:hAnsi="Times New Roman" w:cs="Times New Roman"/>
          <w:sz w:val="24"/>
          <w:szCs w:val="24"/>
        </w:rPr>
        <w:t xml:space="preserve"> generally accepted in the scientific community.</w:t>
      </w:r>
      <w:r w:rsidR="004A071A">
        <w:rPr>
          <w:rFonts w:ascii="Times New Roman" w:hAnsi="Times New Roman" w:cs="Times New Roman"/>
          <w:sz w:val="24"/>
          <w:szCs w:val="24"/>
        </w:rPr>
        <w:t xml:space="preserve"> </w:t>
      </w:r>
      <w:r w:rsidRPr="00730980" w:rsidR="00A22EDD">
        <w:rPr>
          <w:rFonts w:ascii="Times New Roman" w:hAnsi="Times New Roman" w:cs="Times New Roman"/>
          <w:sz w:val="24"/>
          <w:szCs w:val="24"/>
          <w:u w:val="single"/>
        </w:rPr>
        <w:t>See</w:t>
      </w:r>
      <w:r w:rsidR="00A22EDD">
        <w:rPr>
          <w:rFonts w:ascii="Times New Roman" w:hAnsi="Times New Roman" w:cs="Times New Roman"/>
          <w:sz w:val="24"/>
          <w:szCs w:val="24"/>
        </w:rPr>
        <w:t xml:space="preserve"> </w:t>
      </w:r>
      <w:r w:rsidRPr="00A22EDD" w:rsidR="00A207B6">
        <w:rPr>
          <w:rFonts w:ascii="Times New Roman" w:hAnsi="Times New Roman" w:cs="Times New Roman"/>
          <w:i/>
          <w:iCs/>
          <w:kern w:val="0"/>
          <w:sz w:val="24"/>
          <w:szCs w:val="24"/>
        </w:rPr>
        <w:t>Daubert v. Merrell Dow Pharmaceuticals, Inc.</w:t>
      </w:r>
      <w:r w:rsidRPr="00A22EDD" w:rsidR="00A207B6">
        <w:rPr>
          <w:rFonts w:ascii="Times New Roman" w:hAnsi="Times New Roman" w:cs="Times New Roman"/>
          <w:kern w:val="0"/>
          <w:sz w:val="24"/>
          <w:szCs w:val="24"/>
        </w:rPr>
        <w:t>, 509 U.S. 579, 593-94</w:t>
      </w:r>
      <w:r w:rsidR="0051334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22EDD" w:rsidR="00A207B6">
        <w:rPr>
          <w:rFonts w:ascii="Times New Roman" w:hAnsi="Times New Roman" w:cs="Times New Roman"/>
          <w:kern w:val="0"/>
          <w:sz w:val="24"/>
          <w:szCs w:val="24"/>
        </w:rPr>
        <w:t>(1993)</w:t>
      </w:r>
      <w:r w:rsidRPr="00A22EDD" w:rsidR="00A207B6">
        <w:rPr>
          <w:rFonts w:ascii="Times New Roman" w:hAnsi="Times New Roman" w:cs="Times New Roman"/>
          <w:sz w:val="24"/>
          <w:szCs w:val="24"/>
        </w:rPr>
        <w:t>.</w:t>
      </w:r>
      <w:r w:rsidR="00A22EDD">
        <w:rPr>
          <w:rFonts w:ascii="Times New Roman" w:hAnsi="Times New Roman" w:cs="Times New Roman"/>
          <w:sz w:val="24"/>
          <w:szCs w:val="24"/>
        </w:rPr>
        <w:t xml:space="preserve"> In </w:t>
      </w:r>
      <w:r w:rsidRPr="00A22EDD" w:rsidR="000B01D8">
        <w:rPr>
          <w:rFonts w:ascii="Times New Roman" w:hAnsi="Times New Roman" w:cs="Times New Roman"/>
          <w:i/>
          <w:iCs/>
          <w:sz w:val="24"/>
          <w:szCs w:val="24"/>
        </w:rPr>
        <w:t>DiPetrillo v. Dow Chemical Co.</w:t>
      </w:r>
      <w:r w:rsidRPr="00A22EDD" w:rsidR="000B01D8">
        <w:rPr>
          <w:rFonts w:ascii="Times New Roman" w:hAnsi="Times New Roman" w:cs="Times New Roman"/>
          <w:sz w:val="24"/>
          <w:szCs w:val="24"/>
        </w:rPr>
        <w:t xml:space="preserve"> 729 </w:t>
      </w:r>
      <w:proofErr w:type="spellStart"/>
      <w:r w:rsidRPr="00A22EDD" w:rsidR="000B01D8">
        <w:rPr>
          <w:rFonts w:ascii="Times New Roman" w:hAnsi="Times New Roman" w:cs="Times New Roman"/>
          <w:sz w:val="24"/>
          <w:szCs w:val="24"/>
        </w:rPr>
        <w:t>A.2d</w:t>
      </w:r>
      <w:proofErr w:type="spellEnd"/>
      <w:r w:rsidRPr="00A22EDD" w:rsidR="000B01D8">
        <w:rPr>
          <w:rFonts w:ascii="Times New Roman" w:hAnsi="Times New Roman" w:cs="Times New Roman"/>
          <w:sz w:val="24"/>
          <w:szCs w:val="24"/>
        </w:rPr>
        <w:t xml:space="preserve"> 677, 686 (R.I. 1999)</w:t>
      </w:r>
      <w:r w:rsidR="00A22E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Court </w:t>
      </w:r>
      <w:r w:rsidR="00A22EDD">
        <w:rPr>
          <w:rFonts w:ascii="Times New Roman" w:hAnsi="Times New Roman" w:cs="Times New Roman"/>
          <w:sz w:val="24"/>
          <w:szCs w:val="24"/>
        </w:rPr>
        <w:t xml:space="preserve">clarified that the admissibility of an expert’s testimony </w:t>
      </w:r>
      <w:r>
        <w:rPr>
          <w:rFonts w:ascii="Times New Roman" w:hAnsi="Times New Roman" w:cs="Times New Roman"/>
          <w:sz w:val="24"/>
          <w:szCs w:val="24"/>
        </w:rPr>
        <w:t xml:space="preserve">in Rhode Island </w:t>
      </w:r>
      <w:r w:rsidR="00A22EDD">
        <w:rPr>
          <w:rFonts w:ascii="Times New Roman" w:hAnsi="Times New Roman" w:cs="Times New Roman"/>
          <w:sz w:val="24"/>
          <w:szCs w:val="24"/>
        </w:rPr>
        <w:t>requires a two-pronged analysis: (1) whether the expert’s testimony is scientifically</w:t>
      </w:r>
      <w:r w:rsidR="00730980">
        <w:rPr>
          <w:rFonts w:ascii="Times New Roman" w:hAnsi="Times New Roman" w:cs="Times New Roman"/>
          <w:sz w:val="24"/>
          <w:szCs w:val="24"/>
        </w:rPr>
        <w:t xml:space="preserve"> sound; and (2) whether the expert’s opinion is “relevant, appropriate, and of assistance to the jury</w:t>
      </w:r>
      <w:r w:rsidR="004A071A">
        <w:rPr>
          <w:rFonts w:ascii="Times New Roman" w:hAnsi="Times New Roman" w:cs="Times New Roman"/>
          <w:sz w:val="24"/>
          <w:szCs w:val="24"/>
        </w:rPr>
        <w:t>.</w:t>
      </w:r>
      <w:r w:rsidR="00730980">
        <w:rPr>
          <w:rFonts w:ascii="Times New Roman" w:hAnsi="Times New Roman" w:cs="Times New Roman"/>
          <w:sz w:val="24"/>
          <w:szCs w:val="24"/>
        </w:rPr>
        <w:t>”</w:t>
      </w:r>
    </w:p>
    <w:p w:rsidR="008D59F6" w:rsidP="00761824" w:rsidRDefault="008D59F6" w14:paraId="32D4AFE7" w14:textId="663830E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D59F6" w:rsidP="00761824" w:rsidRDefault="008D59F6" w14:paraId="5D3DCB8F" w14:textId="2581F88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1F3F45">
        <w:rPr>
          <w:rFonts w:ascii="Times New Roman" w:hAnsi="Times New Roman" w:cs="Times New Roman"/>
          <w:sz w:val="24"/>
          <w:szCs w:val="24"/>
        </w:rPr>
        <w:t>efendants, Graybar Electric Company, Inc. (“Graybar”) and Union Carbide Corporation (“UCC”)</w:t>
      </w:r>
      <w:r w:rsidR="002D1133">
        <w:rPr>
          <w:rFonts w:ascii="Times New Roman" w:hAnsi="Times New Roman" w:cs="Times New Roman"/>
          <w:sz w:val="24"/>
          <w:szCs w:val="24"/>
        </w:rPr>
        <w:t xml:space="preserve"> filed the following motions in limine relating to </w:t>
      </w:r>
      <w:r w:rsidR="00FF0D57">
        <w:rPr>
          <w:rFonts w:ascii="Times New Roman" w:hAnsi="Times New Roman" w:cs="Times New Roman"/>
          <w:sz w:val="24"/>
          <w:szCs w:val="24"/>
        </w:rPr>
        <w:t>Dr.</w:t>
      </w:r>
      <w:r w:rsidRPr="001F3F45">
        <w:rPr>
          <w:rFonts w:ascii="Times New Roman" w:hAnsi="Times New Roman" w:cs="Times New Roman"/>
          <w:sz w:val="24"/>
          <w:szCs w:val="24"/>
        </w:rPr>
        <w:t xml:space="preserve"> Kradin</w:t>
      </w:r>
      <w:r w:rsidR="00FF0D57">
        <w:rPr>
          <w:rFonts w:ascii="Times New Roman" w:hAnsi="Times New Roman" w:cs="Times New Roman"/>
          <w:sz w:val="24"/>
          <w:szCs w:val="24"/>
        </w:rPr>
        <w:t>,</w:t>
      </w:r>
      <w:r w:rsidRPr="001F3F45">
        <w:rPr>
          <w:rFonts w:ascii="Times New Roman" w:hAnsi="Times New Roman" w:cs="Times New Roman"/>
          <w:sz w:val="24"/>
          <w:szCs w:val="24"/>
        </w:rPr>
        <w:t xml:space="preserve"> a pulmonologist and pathologist, </w:t>
      </w:r>
      <w:r w:rsidR="002D1133">
        <w:rPr>
          <w:rFonts w:ascii="Times New Roman" w:hAnsi="Times New Roman" w:cs="Times New Roman"/>
          <w:sz w:val="24"/>
          <w:szCs w:val="24"/>
        </w:rPr>
        <w:t xml:space="preserve">and </w:t>
      </w:r>
      <w:r w:rsidRPr="001F3F45">
        <w:rPr>
          <w:rFonts w:ascii="Times New Roman" w:hAnsi="Times New Roman" w:cs="Times New Roman"/>
          <w:sz w:val="24"/>
          <w:szCs w:val="24"/>
        </w:rPr>
        <w:t>Dr. Ellenbecker, a</w:t>
      </w:r>
      <w:r w:rsidR="002D1133">
        <w:rPr>
          <w:rFonts w:ascii="Times New Roman" w:hAnsi="Times New Roman" w:cs="Times New Roman"/>
          <w:sz w:val="24"/>
          <w:szCs w:val="24"/>
        </w:rPr>
        <w:t xml:space="preserve"> board-certified</w:t>
      </w:r>
      <w:r w:rsidRPr="001F3F45">
        <w:rPr>
          <w:rFonts w:ascii="Times New Roman" w:hAnsi="Times New Roman" w:cs="Times New Roman"/>
          <w:sz w:val="24"/>
          <w:szCs w:val="24"/>
        </w:rPr>
        <w:t xml:space="preserve"> industrial hygienist</w:t>
      </w:r>
      <w:r w:rsidR="002D1133">
        <w:rPr>
          <w:rFonts w:ascii="Times New Roman" w:hAnsi="Times New Roman" w:cs="Times New Roman"/>
          <w:sz w:val="24"/>
          <w:szCs w:val="24"/>
        </w:rPr>
        <w:t>:</w:t>
      </w:r>
    </w:p>
    <w:p w:rsidR="00EC1C12" w:rsidP="00761824" w:rsidRDefault="00EC1C12" w14:paraId="7A44D804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D59F6" w:rsidP="00761824" w:rsidRDefault="008D59F6" w14:paraId="28A48A23" w14:textId="099A2195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1F3F45">
        <w:rPr>
          <w:rFonts w:ascii="Times New Roman" w:hAnsi="Times New Roman" w:cs="Times New Roman"/>
          <w:sz w:val="24"/>
          <w:szCs w:val="24"/>
        </w:rPr>
        <w:t xml:space="preserve">oint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1F3F45">
        <w:rPr>
          <w:rFonts w:ascii="Times New Roman" w:hAnsi="Times New Roman" w:cs="Times New Roman"/>
          <w:sz w:val="24"/>
          <w:szCs w:val="24"/>
        </w:rPr>
        <w:t xml:space="preserve">otion to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F3F45">
        <w:rPr>
          <w:rFonts w:ascii="Times New Roman" w:hAnsi="Times New Roman" w:cs="Times New Roman"/>
          <w:sz w:val="24"/>
          <w:szCs w:val="24"/>
        </w:rPr>
        <w:t>xclude Dr. Kradin’s</w:t>
      </w:r>
      <w:r>
        <w:rPr>
          <w:rFonts w:ascii="Times New Roman" w:hAnsi="Times New Roman" w:cs="Times New Roman"/>
          <w:sz w:val="24"/>
          <w:szCs w:val="24"/>
        </w:rPr>
        <w:t xml:space="preserve"> Causation Testimony;</w:t>
      </w:r>
    </w:p>
    <w:p w:rsidR="00EC1C12" w:rsidP="00761824" w:rsidRDefault="008D59F6" w14:paraId="551B6716" w14:textId="205DA83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9F6">
        <w:rPr>
          <w:rFonts w:ascii="Times New Roman" w:hAnsi="Times New Roman" w:cs="Times New Roman"/>
          <w:sz w:val="24"/>
          <w:szCs w:val="24"/>
        </w:rPr>
        <w:t>Joint Motion to Exclude Dr. Ellenbecker</w:t>
      </w:r>
      <w:r w:rsidR="000A593D">
        <w:rPr>
          <w:rFonts w:ascii="Times New Roman" w:hAnsi="Times New Roman" w:cs="Times New Roman"/>
          <w:sz w:val="24"/>
          <w:szCs w:val="24"/>
        </w:rPr>
        <w:t>’s</w:t>
      </w:r>
      <w:r w:rsidRPr="008D59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Testi</w:t>
      </w:r>
      <w:r w:rsidRPr="008D59F6">
        <w:rPr>
          <w:rFonts w:ascii="Times New Roman" w:hAnsi="Times New Roman" w:cs="Times New Roman"/>
          <w:sz w:val="24"/>
          <w:szCs w:val="24"/>
        </w:rPr>
        <w:t>mony on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8D59F6">
        <w:rPr>
          <w:rFonts w:ascii="Times New Roman" w:hAnsi="Times New Roman" w:cs="Times New Roman"/>
          <w:sz w:val="24"/>
          <w:szCs w:val="24"/>
        </w:rPr>
        <w:t>sbestos-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8D59F6">
        <w:rPr>
          <w:rFonts w:ascii="Times New Roman" w:hAnsi="Times New Roman" w:cs="Times New Roman"/>
          <w:sz w:val="24"/>
          <w:szCs w:val="24"/>
        </w:rPr>
        <w:t xml:space="preserve">elated </w:t>
      </w:r>
      <w:r w:rsidR="002D1133">
        <w:rPr>
          <w:rFonts w:ascii="Times New Roman" w:hAnsi="Times New Roman" w:cs="Times New Roman"/>
          <w:sz w:val="24"/>
          <w:szCs w:val="24"/>
        </w:rPr>
        <w:t>R</w:t>
      </w:r>
      <w:r w:rsidRPr="008D59F6">
        <w:rPr>
          <w:rFonts w:ascii="Times New Roman" w:hAnsi="Times New Roman" w:cs="Times New Roman"/>
          <w:sz w:val="24"/>
          <w:szCs w:val="24"/>
        </w:rPr>
        <w:t xml:space="preserve">isks and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D59F6">
        <w:rPr>
          <w:rFonts w:ascii="Times New Roman" w:hAnsi="Times New Roman" w:cs="Times New Roman"/>
          <w:sz w:val="24"/>
          <w:szCs w:val="24"/>
        </w:rPr>
        <w:t xml:space="preserve">dequacy of </w:t>
      </w:r>
      <w:r>
        <w:rPr>
          <w:rFonts w:ascii="Times New Roman" w:hAnsi="Times New Roman" w:cs="Times New Roman"/>
          <w:sz w:val="24"/>
          <w:szCs w:val="24"/>
        </w:rPr>
        <w:t>Asbestos</w:t>
      </w:r>
      <w:r w:rsidR="002D11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1133">
        <w:rPr>
          <w:rFonts w:ascii="Times New Roman" w:hAnsi="Times New Roman" w:cs="Times New Roman"/>
          <w:sz w:val="24"/>
          <w:szCs w:val="24"/>
        </w:rPr>
        <w:t>Warnings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D59F6" w:rsidP="00761824" w:rsidRDefault="008D59F6" w14:paraId="2056D58D" w14:textId="76396585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3F45">
        <w:rPr>
          <w:rFonts w:ascii="Times New Roman" w:hAnsi="Times New Roman" w:cs="Times New Roman"/>
          <w:sz w:val="24"/>
          <w:szCs w:val="24"/>
        </w:rPr>
        <w:t>Graybar</w:t>
      </w:r>
      <w:r w:rsidR="002D1133">
        <w:rPr>
          <w:rFonts w:ascii="Times New Roman" w:hAnsi="Times New Roman" w:cs="Times New Roman"/>
          <w:sz w:val="24"/>
          <w:szCs w:val="24"/>
        </w:rPr>
        <w:t xml:space="preserve">’s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8D59F6">
        <w:rPr>
          <w:rFonts w:ascii="Times New Roman" w:hAnsi="Times New Roman" w:cs="Times New Roman"/>
          <w:sz w:val="24"/>
          <w:szCs w:val="24"/>
        </w:rPr>
        <w:t>otions to exclude Dr. Kradin</w:t>
      </w:r>
      <w:r w:rsidR="000A593D">
        <w:rPr>
          <w:rFonts w:ascii="Times New Roman" w:hAnsi="Times New Roman" w:cs="Times New Roman"/>
          <w:sz w:val="24"/>
          <w:szCs w:val="24"/>
        </w:rPr>
        <w:t>’s</w:t>
      </w:r>
      <w:r w:rsidRPr="008D59F6">
        <w:rPr>
          <w:rFonts w:ascii="Times New Roman" w:hAnsi="Times New Roman" w:cs="Times New Roman"/>
          <w:sz w:val="24"/>
          <w:szCs w:val="24"/>
        </w:rPr>
        <w:t xml:space="preserve"> and Dr. Ellenbecker’s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D59F6">
        <w:rPr>
          <w:rFonts w:ascii="Times New Roman" w:hAnsi="Times New Roman" w:cs="Times New Roman"/>
          <w:sz w:val="24"/>
          <w:szCs w:val="24"/>
        </w:rPr>
        <w:t xml:space="preserve">estimony that Graybar’s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D59F6">
        <w:rPr>
          <w:rFonts w:ascii="Times New Roman" w:hAnsi="Times New Roman" w:cs="Times New Roman"/>
          <w:sz w:val="24"/>
          <w:szCs w:val="24"/>
        </w:rPr>
        <w:t xml:space="preserve">roducts </w:t>
      </w:r>
      <w:r w:rsidR="002D1133">
        <w:rPr>
          <w:rFonts w:ascii="Times New Roman" w:hAnsi="Times New Roman" w:cs="Times New Roman"/>
          <w:sz w:val="24"/>
          <w:szCs w:val="24"/>
        </w:rPr>
        <w:t>C</w:t>
      </w:r>
      <w:r w:rsidRPr="008D59F6">
        <w:rPr>
          <w:rFonts w:ascii="Times New Roman" w:hAnsi="Times New Roman" w:cs="Times New Roman"/>
          <w:sz w:val="24"/>
          <w:szCs w:val="24"/>
        </w:rPr>
        <w:t xml:space="preserve">aused </w:t>
      </w:r>
      <w:r>
        <w:rPr>
          <w:rFonts w:ascii="Times New Roman" w:hAnsi="Times New Roman" w:cs="Times New Roman"/>
          <w:sz w:val="24"/>
          <w:szCs w:val="24"/>
        </w:rPr>
        <w:t>Decedent’s Mesothelioma; and</w:t>
      </w:r>
    </w:p>
    <w:p w:rsidRPr="008D59F6" w:rsidR="00EC1C12" w:rsidP="00761824" w:rsidRDefault="002D1133" w14:paraId="50F2CF89" w14:textId="04F2D5A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UCC</w:t>
      </w:r>
      <w:r w:rsidR="00761824">
        <w:rPr>
          <w:rFonts w:ascii="Times New Roman" w:hAnsi="Times New Roman" w:cs="Times New Roman"/>
          <w:sz w:val="24"/>
          <w:szCs w:val="24"/>
        </w:rPr>
        <w:t>’s</w:t>
      </w:r>
      <w:r w:rsidR="008D59F6">
        <w:rPr>
          <w:rFonts w:ascii="Times New Roman" w:hAnsi="Times New Roman" w:cs="Times New Roman"/>
          <w:sz w:val="24"/>
          <w:szCs w:val="24"/>
        </w:rPr>
        <w:t xml:space="preserve"> M</w:t>
      </w:r>
      <w:r w:rsidRPr="008D59F6" w:rsidR="008D59F6">
        <w:rPr>
          <w:rFonts w:ascii="Times New Roman" w:hAnsi="Times New Roman" w:cs="Times New Roman"/>
          <w:sz w:val="24"/>
          <w:szCs w:val="24"/>
        </w:rPr>
        <w:t>otions to exclude Dr. Kradin</w:t>
      </w:r>
      <w:r w:rsidR="000A593D">
        <w:rPr>
          <w:rFonts w:ascii="Times New Roman" w:hAnsi="Times New Roman" w:cs="Times New Roman"/>
          <w:sz w:val="24"/>
          <w:szCs w:val="24"/>
        </w:rPr>
        <w:t>’s</w:t>
      </w:r>
      <w:r w:rsidRPr="008D59F6" w:rsidR="008D59F6">
        <w:rPr>
          <w:rFonts w:ascii="Times New Roman" w:hAnsi="Times New Roman" w:cs="Times New Roman"/>
          <w:sz w:val="24"/>
          <w:szCs w:val="24"/>
        </w:rPr>
        <w:t xml:space="preserve"> and Dr. Ellenbecker’s </w:t>
      </w:r>
      <w:r w:rsidR="008D59F6">
        <w:rPr>
          <w:rFonts w:ascii="Times New Roman" w:hAnsi="Times New Roman" w:cs="Times New Roman"/>
          <w:sz w:val="24"/>
          <w:szCs w:val="24"/>
        </w:rPr>
        <w:t>T</w:t>
      </w:r>
      <w:r w:rsidRPr="008D59F6" w:rsidR="008D59F6">
        <w:rPr>
          <w:rFonts w:ascii="Times New Roman" w:hAnsi="Times New Roman" w:cs="Times New Roman"/>
          <w:sz w:val="24"/>
          <w:szCs w:val="24"/>
        </w:rPr>
        <w:t xml:space="preserve">estimony </w:t>
      </w:r>
      <w:r>
        <w:rPr>
          <w:rFonts w:ascii="Times New Roman" w:hAnsi="Times New Roman" w:cs="Times New Roman"/>
          <w:sz w:val="24"/>
          <w:szCs w:val="24"/>
        </w:rPr>
        <w:t xml:space="preserve">Regarding </w:t>
      </w:r>
      <w:r w:rsidRPr="008D59F6" w:rsidR="008D59F6">
        <w:rPr>
          <w:rFonts w:ascii="Times New Roman" w:hAnsi="Times New Roman" w:cs="Times New Roman"/>
          <w:sz w:val="24"/>
          <w:szCs w:val="24"/>
        </w:rPr>
        <w:t>the</w:t>
      </w:r>
      <w:r w:rsidR="008D59F6">
        <w:rPr>
          <w:rFonts w:ascii="Times New Roman" w:hAnsi="Times New Roman" w:cs="Times New Roman"/>
          <w:sz w:val="24"/>
          <w:szCs w:val="24"/>
        </w:rPr>
        <w:t xml:space="preserve"> S</w:t>
      </w:r>
      <w:r w:rsidRPr="008D59F6" w:rsidR="008D59F6">
        <w:rPr>
          <w:rFonts w:ascii="Times New Roman" w:hAnsi="Times New Roman" w:cs="Times New Roman"/>
          <w:sz w:val="24"/>
          <w:szCs w:val="24"/>
        </w:rPr>
        <w:t xml:space="preserve">upply of </w:t>
      </w:r>
      <w:r>
        <w:rPr>
          <w:rFonts w:ascii="Times New Roman" w:hAnsi="Times New Roman" w:cs="Times New Roman"/>
          <w:sz w:val="24"/>
          <w:szCs w:val="24"/>
        </w:rPr>
        <w:t>UCC</w:t>
      </w:r>
      <w:r w:rsidRPr="008D59F6" w:rsidR="008D59F6">
        <w:rPr>
          <w:rFonts w:ascii="Times New Roman" w:hAnsi="Times New Roman" w:cs="Times New Roman"/>
          <w:sz w:val="24"/>
          <w:szCs w:val="24"/>
        </w:rPr>
        <w:t xml:space="preserve"> Calidria and </w:t>
      </w:r>
      <w:r>
        <w:rPr>
          <w:rFonts w:ascii="Times New Roman" w:hAnsi="Times New Roman" w:cs="Times New Roman"/>
          <w:sz w:val="24"/>
          <w:szCs w:val="24"/>
        </w:rPr>
        <w:t xml:space="preserve">its Presence </w:t>
      </w:r>
      <w:r w:rsidRPr="008D59F6" w:rsidR="008D59F6">
        <w:rPr>
          <w:rFonts w:ascii="Times New Roman" w:hAnsi="Times New Roman" w:cs="Times New Roman"/>
          <w:sz w:val="24"/>
          <w:szCs w:val="24"/>
        </w:rPr>
        <w:t xml:space="preserve">in </w:t>
      </w:r>
      <w:r w:rsidR="008D59F6">
        <w:rPr>
          <w:rFonts w:ascii="Times New Roman" w:hAnsi="Times New Roman" w:cs="Times New Roman"/>
          <w:sz w:val="24"/>
          <w:szCs w:val="24"/>
        </w:rPr>
        <w:t>P</w:t>
      </w:r>
      <w:r w:rsidRPr="008D59F6" w:rsidR="008D59F6">
        <w:rPr>
          <w:rFonts w:ascii="Times New Roman" w:hAnsi="Times New Roman" w:cs="Times New Roman"/>
          <w:sz w:val="24"/>
          <w:szCs w:val="24"/>
        </w:rPr>
        <w:t xml:space="preserve">roducts </w:t>
      </w:r>
      <w:r w:rsidR="008D59F6">
        <w:rPr>
          <w:rFonts w:ascii="Times New Roman" w:hAnsi="Times New Roman" w:cs="Times New Roman"/>
          <w:sz w:val="24"/>
          <w:szCs w:val="24"/>
        </w:rPr>
        <w:t xml:space="preserve">to which Decedent was </w:t>
      </w:r>
      <w:r w:rsidRPr="008D59F6" w:rsidR="008D59F6">
        <w:rPr>
          <w:rFonts w:ascii="Times New Roman" w:hAnsi="Times New Roman" w:cs="Times New Roman"/>
          <w:sz w:val="24"/>
          <w:szCs w:val="24"/>
        </w:rPr>
        <w:t>exposed.</w:t>
      </w:r>
    </w:p>
    <w:p w:rsidR="00EC1C12" w:rsidP="00761824" w:rsidRDefault="00EC1C12" w14:paraId="4EA71317" w14:textId="7777777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2FB1" w:rsidP="000B01D8" w:rsidRDefault="00635ED0" w14:paraId="5103A82F" w14:textId="3CF904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Though the Court </w:t>
      </w:r>
      <w:r w:rsidRPr="001F3F45">
        <w:rPr>
          <w:rFonts w:ascii="Times New Roman" w:hAnsi="Times New Roman" w:cs="Times New Roman"/>
          <w:sz w:val="24"/>
          <w:szCs w:val="24"/>
        </w:rPr>
        <w:t>exclude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1F3F45">
        <w:rPr>
          <w:rFonts w:ascii="Times New Roman" w:hAnsi="Times New Roman" w:cs="Times New Roman"/>
          <w:sz w:val="24"/>
          <w:szCs w:val="24"/>
        </w:rPr>
        <w:t xml:space="preserve"> Dr. Ellenbecker’s testimony regarding the adequacy of </w:t>
      </w:r>
      <w:r>
        <w:rPr>
          <w:rFonts w:ascii="Times New Roman" w:hAnsi="Times New Roman" w:cs="Times New Roman"/>
          <w:sz w:val="24"/>
          <w:szCs w:val="24"/>
        </w:rPr>
        <w:t xml:space="preserve">asbestos </w:t>
      </w:r>
      <w:r w:rsidRPr="001F3F45">
        <w:rPr>
          <w:rFonts w:ascii="Times New Roman" w:hAnsi="Times New Roman" w:cs="Times New Roman"/>
          <w:sz w:val="24"/>
          <w:szCs w:val="24"/>
        </w:rPr>
        <w:t>warnings</w:t>
      </w:r>
      <w:r>
        <w:rPr>
          <w:rFonts w:ascii="Times New Roman" w:hAnsi="Times New Roman" w:cs="Times New Roman"/>
          <w:sz w:val="24"/>
          <w:szCs w:val="24"/>
        </w:rPr>
        <w:t xml:space="preserve">, it denied the remainder of </w:t>
      </w:r>
      <w:r w:rsidR="00FF0D57">
        <w:rPr>
          <w:rFonts w:ascii="Times New Roman" w:hAnsi="Times New Roman" w:cs="Times New Roman"/>
          <w:sz w:val="24"/>
          <w:szCs w:val="24"/>
        </w:rPr>
        <w:t>Defendants’</w:t>
      </w:r>
      <w:r>
        <w:rPr>
          <w:rFonts w:ascii="Times New Roman" w:hAnsi="Times New Roman" w:cs="Times New Roman"/>
          <w:sz w:val="24"/>
          <w:szCs w:val="24"/>
        </w:rPr>
        <w:t xml:space="preserve"> motions</w:t>
      </w:r>
      <w:r w:rsidR="00947711">
        <w:rPr>
          <w:rFonts w:ascii="Times New Roman" w:hAnsi="Times New Roman" w:cs="Times New Roman"/>
          <w:sz w:val="24"/>
          <w:szCs w:val="24"/>
        </w:rPr>
        <w:t xml:space="preserve"> and </w:t>
      </w:r>
      <w:r w:rsidR="0043367C">
        <w:rPr>
          <w:rFonts w:ascii="Times New Roman" w:hAnsi="Times New Roman" w:cs="Times New Roman"/>
          <w:sz w:val="24"/>
          <w:szCs w:val="24"/>
        </w:rPr>
        <w:t>permitted</w:t>
      </w:r>
      <w:r w:rsidR="00947711">
        <w:rPr>
          <w:rFonts w:ascii="Times New Roman" w:hAnsi="Times New Roman" w:cs="Times New Roman"/>
          <w:sz w:val="24"/>
          <w:szCs w:val="24"/>
        </w:rPr>
        <w:t xml:space="preserve"> Dr. Kradin and </w:t>
      </w:r>
      <w:r w:rsidR="0043367C">
        <w:rPr>
          <w:rFonts w:ascii="Times New Roman" w:hAnsi="Times New Roman" w:cs="Times New Roman"/>
          <w:sz w:val="24"/>
          <w:szCs w:val="24"/>
        </w:rPr>
        <w:t xml:space="preserve">Dr. </w:t>
      </w:r>
      <w:r w:rsidR="00947711">
        <w:rPr>
          <w:rFonts w:ascii="Times New Roman" w:hAnsi="Times New Roman" w:cs="Times New Roman"/>
          <w:sz w:val="24"/>
          <w:szCs w:val="24"/>
        </w:rPr>
        <w:t>Ellenbecker</w:t>
      </w:r>
      <w:r w:rsidR="0043367C">
        <w:rPr>
          <w:rFonts w:ascii="Times New Roman" w:hAnsi="Times New Roman" w:cs="Times New Roman"/>
          <w:sz w:val="24"/>
          <w:szCs w:val="24"/>
        </w:rPr>
        <w:t xml:space="preserve"> to</w:t>
      </w:r>
      <w:r w:rsidR="00947711">
        <w:rPr>
          <w:rFonts w:ascii="Times New Roman" w:hAnsi="Times New Roman" w:cs="Times New Roman"/>
          <w:sz w:val="24"/>
          <w:szCs w:val="24"/>
        </w:rPr>
        <w:t xml:space="preserve"> testify at trial</w:t>
      </w:r>
      <w:r>
        <w:rPr>
          <w:rFonts w:ascii="Times New Roman" w:hAnsi="Times New Roman" w:cs="Times New Roman"/>
          <w:sz w:val="24"/>
          <w:szCs w:val="24"/>
        </w:rPr>
        <w:t>.  In doing so, the Court</w:t>
      </w:r>
      <w:r w:rsidR="00C21AD2">
        <w:rPr>
          <w:rFonts w:ascii="Times New Roman" w:hAnsi="Times New Roman" w:cs="Times New Roman"/>
          <w:sz w:val="24"/>
          <w:szCs w:val="24"/>
        </w:rPr>
        <w:t>:</w:t>
      </w:r>
      <w:r w:rsidR="00E2471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2471A" w:rsidR="00E2471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2471A" w:rsidR="00E2471A">
        <w:rPr>
          <w:rFonts w:ascii="Times New Roman" w:hAnsi="Times New Roman" w:cs="Times New Roman"/>
          <w:sz w:val="24"/>
          <w:szCs w:val="24"/>
        </w:rPr>
        <w:t>) held that an expert</w:t>
      </w:r>
      <w:r w:rsidR="00E2471A">
        <w:rPr>
          <w:rFonts w:ascii="Times New Roman" w:hAnsi="Times New Roman" w:cs="Times New Roman"/>
          <w:sz w:val="24"/>
          <w:szCs w:val="24"/>
        </w:rPr>
        <w:t>’</w:t>
      </w:r>
      <w:r w:rsidRPr="00E2471A" w:rsidR="00E2471A">
        <w:rPr>
          <w:rFonts w:ascii="Times New Roman" w:hAnsi="Times New Roman" w:cs="Times New Roman"/>
          <w:sz w:val="24"/>
          <w:szCs w:val="24"/>
        </w:rPr>
        <w:t xml:space="preserve">s opinion based upon the </w:t>
      </w:r>
      <w:r w:rsidR="00E2471A">
        <w:rPr>
          <w:rFonts w:ascii="Times New Roman" w:hAnsi="Times New Roman" w:cs="Times New Roman"/>
          <w:sz w:val="24"/>
          <w:szCs w:val="24"/>
        </w:rPr>
        <w:t>“</w:t>
      </w:r>
      <w:r w:rsidRPr="00E2471A" w:rsidR="00E2471A">
        <w:rPr>
          <w:rFonts w:ascii="Times New Roman" w:hAnsi="Times New Roman" w:cs="Times New Roman"/>
          <w:sz w:val="24"/>
          <w:szCs w:val="24"/>
        </w:rPr>
        <w:t>each and every exposure</w:t>
      </w:r>
      <w:r w:rsidR="00E2471A">
        <w:rPr>
          <w:rFonts w:ascii="Times New Roman" w:hAnsi="Times New Roman" w:cs="Times New Roman"/>
          <w:sz w:val="24"/>
          <w:szCs w:val="24"/>
        </w:rPr>
        <w:t>”</w:t>
      </w:r>
      <w:r w:rsidRPr="00E2471A" w:rsidR="00E2471A">
        <w:rPr>
          <w:rFonts w:ascii="Times New Roman" w:hAnsi="Times New Roman" w:cs="Times New Roman"/>
          <w:sz w:val="24"/>
          <w:szCs w:val="24"/>
        </w:rPr>
        <w:t xml:space="preserve"> theory is independently</w:t>
      </w:r>
      <w:r w:rsidR="00E2471A">
        <w:rPr>
          <w:rFonts w:ascii="Times New Roman" w:hAnsi="Times New Roman" w:cs="Times New Roman"/>
          <w:sz w:val="24"/>
          <w:szCs w:val="24"/>
        </w:rPr>
        <w:t xml:space="preserve"> </w:t>
      </w:r>
      <w:r w:rsidRPr="00E2471A" w:rsidR="00E2471A">
        <w:rPr>
          <w:rFonts w:ascii="Times New Roman" w:hAnsi="Times New Roman" w:cs="Times New Roman"/>
          <w:sz w:val="24"/>
          <w:szCs w:val="24"/>
        </w:rPr>
        <w:t>admissible in R</w:t>
      </w:r>
      <w:r w:rsidR="000B01D8">
        <w:rPr>
          <w:rFonts w:ascii="Times New Roman" w:hAnsi="Times New Roman" w:cs="Times New Roman"/>
          <w:sz w:val="24"/>
          <w:szCs w:val="24"/>
        </w:rPr>
        <w:t>hode Island</w:t>
      </w:r>
      <w:r w:rsidRPr="00E2471A" w:rsidR="00E2471A">
        <w:rPr>
          <w:rFonts w:ascii="Times New Roman" w:hAnsi="Times New Roman" w:cs="Times New Roman"/>
          <w:sz w:val="24"/>
          <w:szCs w:val="24"/>
        </w:rPr>
        <w:t xml:space="preserve"> as scientifically valid without the need to address the </w:t>
      </w:r>
      <w:r w:rsidR="000B01D8">
        <w:rPr>
          <w:rFonts w:ascii="Times New Roman" w:hAnsi="Times New Roman" w:cs="Times New Roman"/>
          <w:sz w:val="24"/>
          <w:szCs w:val="24"/>
        </w:rPr>
        <w:t>“</w:t>
      </w:r>
      <w:r w:rsidRPr="00E2471A" w:rsidR="00E2471A">
        <w:rPr>
          <w:rFonts w:ascii="Times New Roman" w:hAnsi="Times New Roman" w:cs="Times New Roman"/>
          <w:sz w:val="24"/>
          <w:szCs w:val="24"/>
        </w:rPr>
        <w:t>frequency, regularity, or proximity</w:t>
      </w:r>
      <w:r w:rsidR="000B01D8">
        <w:rPr>
          <w:rFonts w:ascii="Times New Roman" w:hAnsi="Times New Roman" w:cs="Times New Roman"/>
          <w:sz w:val="24"/>
          <w:szCs w:val="24"/>
        </w:rPr>
        <w:t>”</w:t>
      </w:r>
      <w:r w:rsidRPr="00E2471A" w:rsidR="00E2471A">
        <w:rPr>
          <w:rFonts w:ascii="Times New Roman" w:hAnsi="Times New Roman" w:cs="Times New Roman"/>
          <w:sz w:val="24"/>
          <w:szCs w:val="24"/>
        </w:rPr>
        <w:t xml:space="preserve"> of a plaintiff's exposure to asbestos; and </w:t>
      </w:r>
      <w:r w:rsidR="00E2471A">
        <w:rPr>
          <w:rFonts w:ascii="Times New Roman" w:hAnsi="Times New Roman" w:cs="Times New Roman"/>
          <w:sz w:val="24"/>
          <w:szCs w:val="24"/>
        </w:rPr>
        <w:t>(</w:t>
      </w:r>
      <w:r w:rsidRPr="00E2471A" w:rsidR="00E2471A">
        <w:rPr>
          <w:rFonts w:ascii="Times New Roman" w:hAnsi="Times New Roman" w:cs="Times New Roman"/>
          <w:sz w:val="24"/>
          <w:szCs w:val="24"/>
        </w:rPr>
        <w:t xml:space="preserve">ii) clarified that </w:t>
      </w:r>
      <w:proofErr w:type="spellStart"/>
      <w:r w:rsidRPr="00E2471A" w:rsidR="00E2471A">
        <w:rPr>
          <w:rFonts w:ascii="Times New Roman" w:hAnsi="Times New Roman" w:cs="Times New Roman"/>
          <w:i/>
          <w:iCs/>
          <w:sz w:val="24"/>
          <w:szCs w:val="24"/>
        </w:rPr>
        <w:t>Sweredoski’s</w:t>
      </w:r>
      <w:proofErr w:type="spellEnd"/>
      <w:r w:rsidRPr="00E2471A" w:rsidR="00E2471A">
        <w:rPr>
          <w:rFonts w:ascii="Times New Roman" w:hAnsi="Times New Roman" w:cs="Times New Roman"/>
          <w:sz w:val="24"/>
          <w:szCs w:val="24"/>
        </w:rPr>
        <w:t xml:space="preserve"> “frequency, regularity, and proximity” requirement applies to a plaintiff’s burden of proof as to liability</w:t>
      </w:r>
      <w:r w:rsidR="000B01D8">
        <w:rPr>
          <w:rFonts w:ascii="Times New Roman" w:hAnsi="Times New Roman" w:cs="Times New Roman"/>
          <w:sz w:val="24"/>
          <w:szCs w:val="24"/>
        </w:rPr>
        <w:t>,</w:t>
      </w:r>
      <w:r w:rsidRPr="00E2471A" w:rsidR="00E2471A">
        <w:rPr>
          <w:rFonts w:ascii="Times New Roman" w:hAnsi="Times New Roman" w:cs="Times New Roman"/>
          <w:sz w:val="24"/>
          <w:szCs w:val="24"/>
        </w:rPr>
        <w:t xml:space="preserve"> but “does not impose an additional requirement </w:t>
      </w:r>
      <w:r w:rsidR="000B01D8">
        <w:rPr>
          <w:rFonts w:ascii="Times New Roman" w:hAnsi="Times New Roman" w:cs="Times New Roman"/>
          <w:sz w:val="24"/>
          <w:szCs w:val="24"/>
        </w:rPr>
        <w:t xml:space="preserve">. . . </w:t>
      </w:r>
      <w:r w:rsidRPr="00E2471A" w:rsidR="00E2471A">
        <w:rPr>
          <w:rFonts w:ascii="Times New Roman" w:hAnsi="Times New Roman" w:cs="Times New Roman"/>
          <w:sz w:val="24"/>
          <w:szCs w:val="24"/>
        </w:rPr>
        <w:t xml:space="preserve">that an expert's opinion is only scientifically valid when he or she performs tests related to </w:t>
      </w:r>
      <w:r w:rsidR="00513346">
        <w:rPr>
          <w:rFonts w:ascii="Times New Roman" w:hAnsi="Times New Roman" w:cs="Times New Roman"/>
          <w:sz w:val="24"/>
          <w:szCs w:val="24"/>
        </w:rPr>
        <w:t>‘</w:t>
      </w:r>
      <w:r w:rsidRPr="00E2471A" w:rsidR="00E2471A">
        <w:rPr>
          <w:rFonts w:ascii="Times New Roman" w:hAnsi="Times New Roman" w:cs="Times New Roman"/>
          <w:sz w:val="24"/>
          <w:szCs w:val="24"/>
        </w:rPr>
        <w:t>frequency, regularity, and proximity.</w:t>
      </w:r>
      <w:r w:rsidR="00513346">
        <w:rPr>
          <w:rFonts w:ascii="Times New Roman" w:hAnsi="Times New Roman" w:cs="Times New Roman"/>
          <w:sz w:val="24"/>
          <w:szCs w:val="24"/>
        </w:rPr>
        <w:t>’</w:t>
      </w:r>
      <w:r w:rsidRPr="00E2471A" w:rsidR="00E2471A">
        <w:rPr>
          <w:rFonts w:ascii="Times New Roman" w:hAnsi="Times New Roman" w:cs="Times New Roman"/>
          <w:sz w:val="24"/>
          <w:szCs w:val="24"/>
        </w:rPr>
        <w:t>”</w:t>
      </w:r>
    </w:p>
    <w:p w:rsidR="005A2FB1" w:rsidP="00D64C1F" w:rsidRDefault="005A2FB1" w14:paraId="0EB8A217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64C1F" w:rsidP="00B61EAD" w:rsidRDefault="00D64C1F" w14:paraId="5B962984" w14:textId="1A5E7066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Each and Every Exposure</w:t>
      </w:r>
      <w:r w:rsidR="0067484E">
        <w:rPr>
          <w:rFonts w:ascii="Times New Roman" w:hAnsi="Times New Roman" w:cs="Times New Roman"/>
          <w:i/>
          <w:iCs/>
          <w:sz w:val="24"/>
          <w:szCs w:val="24"/>
        </w:rPr>
        <w:t xml:space="preserve"> Scientifically Valid in Rhode Island</w:t>
      </w:r>
    </w:p>
    <w:p w:rsidR="006314B1" w:rsidP="00761824" w:rsidRDefault="006314B1" w14:paraId="55D9E23E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C1267" w:rsidP="00781715" w:rsidRDefault="0067484E" w14:paraId="28102ECC" w14:textId="10B58DA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“each and every exposure” theory generally states that any exposure to asbestos above background levels is cumulatively causative of mesothelioma. </w:t>
      </w:r>
      <w:r w:rsidR="003B0337">
        <w:rPr>
          <w:rFonts w:ascii="Times New Roman" w:hAnsi="Times New Roman" w:cs="Times New Roman"/>
          <w:sz w:val="24"/>
          <w:szCs w:val="24"/>
        </w:rPr>
        <w:t xml:space="preserve">Relying on </w:t>
      </w:r>
      <w:r w:rsidRPr="00B61EAD" w:rsidR="003B0337">
        <w:rPr>
          <w:rFonts w:ascii="Times New Roman" w:hAnsi="Times New Roman" w:cs="Times New Roman"/>
          <w:i/>
          <w:iCs/>
          <w:sz w:val="24"/>
          <w:szCs w:val="24"/>
        </w:rPr>
        <w:t>Sweredoski</w:t>
      </w:r>
      <w:r w:rsidR="003B0337">
        <w:rPr>
          <w:rFonts w:ascii="Times New Roman" w:hAnsi="Times New Roman" w:cs="Times New Roman"/>
          <w:sz w:val="24"/>
          <w:szCs w:val="24"/>
        </w:rPr>
        <w:t>, Defendants argued that</w:t>
      </w:r>
      <w:r w:rsidR="00C21A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Dr. Kradin</w:t>
      </w:r>
      <w:r w:rsidR="000A593D">
        <w:rPr>
          <w:rFonts w:ascii="Times New Roman" w:hAnsi="Times New Roman" w:cs="Times New Roman"/>
          <w:sz w:val="24"/>
          <w:szCs w:val="24"/>
        </w:rPr>
        <w:t>’s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0A593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Ellenbecker’s opinions were inadmissible as mere applications of the </w:t>
      </w:r>
      <w:r w:rsidR="00513346">
        <w:rPr>
          <w:rFonts w:ascii="Times New Roman" w:hAnsi="Times New Roman" w:cs="Times New Roman"/>
          <w:sz w:val="24"/>
          <w:szCs w:val="24"/>
        </w:rPr>
        <w:t>“</w:t>
      </w:r>
      <w:r w:rsidRPr="0067484E">
        <w:rPr>
          <w:rFonts w:ascii="Times New Roman" w:hAnsi="Times New Roman" w:cs="Times New Roman"/>
          <w:sz w:val="24"/>
          <w:szCs w:val="24"/>
        </w:rPr>
        <w:t>each and every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84E">
        <w:rPr>
          <w:rFonts w:ascii="Times New Roman" w:hAnsi="Times New Roman" w:cs="Times New Roman"/>
          <w:sz w:val="24"/>
          <w:szCs w:val="24"/>
        </w:rPr>
        <w:t>exposure</w:t>
      </w:r>
      <w:r>
        <w:rPr>
          <w:rFonts w:ascii="Times New Roman" w:hAnsi="Times New Roman" w:cs="Times New Roman"/>
          <w:sz w:val="24"/>
          <w:szCs w:val="24"/>
        </w:rPr>
        <w:t>” theory</w:t>
      </w:r>
      <w:r w:rsidR="00781715">
        <w:rPr>
          <w:rFonts w:ascii="Times New Roman" w:hAnsi="Times New Roman" w:cs="Times New Roman"/>
          <w:sz w:val="24"/>
          <w:szCs w:val="24"/>
        </w:rPr>
        <w:t xml:space="preserve"> </w:t>
      </w:r>
      <w:r w:rsidR="000C6D88">
        <w:rPr>
          <w:rFonts w:ascii="Times New Roman" w:hAnsi="Times New Roman" w:cs="Times New Roman"/>
          <w:sz w:val="24"/>
          <w:szCs w:val="24"/>
        </w:rPr>
        <w:t>which</w:t>
      </w:r>
      <w:r w:rsidR="00781715">
        <w:rPr>
          <w:rFonts w:ascii="Times New Roman" w:hAnsi="Times New Roman" w:cs="Times New Roman"/>
          <w:sz w:val="24"/>
          <w:szCs w:val="24"/>
        </w:rPr>
        <w:t xml:space="preserve"> is scientifically unsupported and cannot be tested “</w:t>
      </w:r>
      <w:r w:rsidRPr="0067484E">
        <w:rPr>
          <w:rFonts w:ascii="Times New Roman" w:hAnsi="Times New Roman" w:cs="Times New Roman"/>
          <w:sz w:val="24"/>
          <w:szCs w:val="24"/>
        </w:rPr>
        <w:t xml:space="preserve">to determine the </w:t>
      </w:r>
      <w:r>
        <w:rPr>
          <w:rFonts w:ascii="Times New Roman" w:hAnsi="Times New Roman" w:cs="Times New Roman"/>
          <w:sz w:val="24"/>
          <w:szCs w:val="24"/>
        </w:rPr>
        <w:t>‘</w:t>
      </w:r>
      <w:r w:rsidRPr="0067484E">
        <w:rPr>
          <w:rFonts w:ascii="Times New Roman" w:hAnsi="Times New Roman" w:cs="Times New Roman"/>
          <w:sz w:val="24"/>
          <w:szCs w:val="24"/>
        </w:rPr>
        <w:t>frequency,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84E">
        <w:rPr>
          <w:rFonts w:ascii="Times New Roman" w:hAnsi="Times New Roman" w:cs="Times New Roman"/>
          <w:sz w:val="24"/>
          <w:szCs w:val="24"/>
        </w:rPr>
        <w:t>regularity, and proximity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67484E">
        <w:rPr>
          <w:rFonts w:ascii="Times New Roman" w:hAnsi="Times New Roman" w:cs="Times New Roman"/>
          <w:sz w:val="24"/>
          <w:szCs w:val="24"/>
        </w:rPr>
        <w:t xml:space="preserve"> of Mrs. Bonito's asbestos exposures.</w:t>
      </w:r>
      <w:r>
        <w:rPr>
          <w:rFonts w:ascii="Times New Roman" w:hAnsi="Times New Roman" w:cs="Times New Roman"/>
          <w:sz w:val="24"/>
          <w:szCs w:val="24"/>
        </w:rPr>
        <w:t xml:space="preserve">”  </w:t>
      </w:r>
      <w:r w:rsidRPr="0067484E">
        <w:rPr>
          <w:rFonts w:ascii="Times New Roman" w:hAnsi="Times New Roman" w:cs="Times New Roman"/>
          <w:sz w:val="24"/>
          <w:szCs w:val="24"/>
        </w:rPr>
        <w:t xml:space="preserve"> </w:t>
      </w:r>
      <w:r w:rsidR="006314B1">
        <w:rPr>
          <w:rFonts w:ascii="Times New Roman" w:hAnsi="Times New Roman" w:cs="Times New Roman"/>
          <w:sz w:val="24"/>
          <w:szCs w:val="24"/>
        </w:rPr>
        <w:t xml:space="preserve">The Court </w:t>
      </w:r>
      <w:r w:rsidR="00781715">
        <w:rPr>
          <w:rFonts w:ascii="Times New Roman" w:hAnsi="Times New Roman" w:cs="Times New Roman"/>
          <w:sz w:val="24"/>
          <w:szCs w:val="24"/>
        </w:rPr>
        <w:t xml:space="preserve">found Defendants’ reliance on </w:t>
      </w:r>
      <w:r w:rsidR="00781715">
        <w:rPr>
          <w:rFonts w:ascii="Times New Roman" w:hAnsi="Times New Roman" w:cs="Times New Roman"/>
          <w:i/>
          <w:iCs/>
          <w:sz w:val="24"/>
          <w:szCs w:val="24"/>
        </w:rPr>
        <w:t xml:space="preserve">Sweredoski </w:t>
      </w:r>
      <w:r w:rsidR="00781715">
        <w:rPr>
          <w:rFonts w:ascii="Times New Roman" w:hAnsi="Times New Roman" w:cs="Times New Roman"/>
          <w:sz w:val="24"/>
          <w:szCs w:val="24"/>
        </w:rPr>
        <w:t xml:space="preserve">misplaced.  In fact, it expressly held that – </w:t>
      </w:r>
      <w:r w:rsidRPr="00190D1C" w:rsidR="00781715">
        <w:rPr>
          <w:rFonts w:ascii="Times New Roman" w:hAnsi="Times New Roman" w:cs="Times New Roman"/>
          <w:sz w:val="24"/>
          <w:szCs w:val="24"/>
        </w:rPr>
        <w:t>per</w:t>
      </w:r>
      <w:r w:rsidRPr="00B61EAD" w:rsidR="00781715">
        <w:rPr>
          <w:rFonts w:ascii="Times New Roman" w:hAnsi="Times New Roman" w:cs="Times New Roman"/>
          <w:sz w:val="24"/>
          <w:szCs w:val="24"/>
        </w:rPr>
        <w:t xml:space="preserve"> </w:t>
      </w:r>
      <w:r w:rsidRPr="00B61EAD" w:rsidR="00781715">
        <w:rPr>
          <w:rFonts w:ascii="Times New Roman" w:hAnsi="Times New Roman" w:cs="Times New Roman"/>
          <w:i/>
          <w:iCs/>
          <w:sz w:val="24"/>
          <w:szCs w:val="24"/>
        </w:rPr>
        <w:t>Sweredoski</w:t>
      </w:r>
      <w:r w:rsidR="00781715">
        <w:rPr>
          <w:rFonts w:ascii="Times New Roman" w:hAnsi="Times New Roman" w:cs="Times New Roman"/>
          <w:sz w:val="24"/>
          <w:szCs w:val="24"/>
        </w:rPr>
        <w:t xml:space="preserve"> –</w:t>
      </w:r>
      <w:r w:rsidRPr="00B61EAD" w:rsidR="00781715">
        <w:rPr>
          <w:rFonts w:ascii="Times New Roman" w:hAnsi="Times New Roman" w:cs="Times New Roman"/>
          <w:sz w:val="24"/>
          <w:szCs w:val="24"/>
        </w:rPr>
        <w:t xml:space="preserve"> </w:t>
      </w:r>
      <w:r w:rsidRPr="00781715" w:rsidR="00CC4D23">
        <w:rPr>
          <w:rFonts w:ascii="Times New Roman" w:hAnsi="Times New Roman" w:cs="Times New Roman"/>
          <w:sz w:val="24"/>
          <w:szCs w:val="24"/>
        </w:rPr>
        <w:t>the</w:t>
      </w:r>
      <w:r w:rsidR="00CC4D23">
        <w:rPr>
          <w:rFonts w:ascii="Times New Roman" w:hAnsi="Times New Roman" w:cs="Times New Roman"/>
          <w:sz w:val="24"/>
          <w:szCs w:val="24"/>
        </w:rPr>
        <w:t xml:space="preserve"> “each and every exposure” theory </w:t>
      </w:r>
      <w:r w:rsidR="00781715">
        <w:rPr>
          <w:rFonts w:ascii="Times New Roman" w:hAnsi="Times New Roman" w:cs="Times New Roman"/>
          <w:i/>
          <w:iCs/>
          <w:sz w:val="24"/>
          <w:szCs w:val="24"/>
        </w:rPr>
        <w:t xml:space="preserve">is </w:t>
      </w:r>
      <w:r w:rsidR="00CC4D23">
        <w:rPr>
          <w:rFonts w:ascii="Times New Roman" w:hAnsi="Times New Roman" w:cs="Times New Roman"/>
          <w:sz w:val="24"/>
          <w:szCs w:val="24"/>
        </w:rPr>
        <w:t>scientifically valid</w:t>
      </w:r>
      <w:r w:rsidR="005055D2">
        <w:rPr>
          <w:rFonts w:ascii="Times New Roman" w:hAnsi="Times New Roman" w:cs="Times New Roman"/>
          <w:sz w:val="24"/>
          <w:szCs w:val="24"/>
        </w:rPr>
        <w:t xml:space="preserve"> because </w:t>
      </w:r>
      <w:r w:rsidR="00190D1C">
        <w:rPr>
          <w:rFonts w:ascii="Times New Roman" w:hAnsi="Times New Roman" w:cs="Times New Roman"/>
          <w:sz w:val="24"/>
          <w:szCs w:val="24"/>
        </w:rPr>
        <w:t>significant medical evidence exists indicating “asbestos fibers are intrinsically dangerous and that the respiration of each fiber is cumulatively harmful,” and further, that “mesothelioma can result from [cumulative] minor exposures to asbestos products.”</w:t>
      </w:r>
      <w:r w:rsidR="005055D2">
        <w:rPr>
          <w:rFonts w:ascii="Times New Roman" w:hAnsi="Times New Roman" w:cs="Times New Roman"/>
          <w:sz w:val="24"/>
          <w:szCs w:val="24"/>
        </w:rPr>
        <w:t xml:space="preserve"> Therefore, </w:t>
      </w:r>
      <w:r w:rsidR="00781715">
        <w:rPr>
          <w:rFonts w:ascii="Times New Roman" w:hAnsi="Times New Roman" w:cs="Times New Roman"/>
          <w:sz w:val="24"/>
          <w:szCs w:val="24"/>
        </w:rPr>
        <w:t>consistent with the Helsinki Criteria</w:t>
      </w:r>
      <w:r w:rsidR="00781715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781715">
        <w:rPr>
          <w:rFonts w:ascii="Times New Roman" w:hAnsi="Times New Roman" w:cs="Times New Roman"/>
          <w:sz w:val="24"/>
          <w:szCs w:val="24"/>
        </w:rPr>
        <w:t>, under Rhode Island law</w:t>
      </w:r>
      <w:r w:rsidR="00BA13EE">
        <w:rPr>
          <w:rFonts w:ascii="Times New Roman" w:hAnsi="Times New Roman" w:cs="Times New Roman"/>
          <w:sz w:val="24"/>
          <w:szCs w:val="24"/>
        </w:rPr>
        <w:t>,</w:t>
      </w:r>
      <w:r w:rsidR="00781715">
        <w:rPr>
          <w:rFonts w:ascii="Times New Roman" w:hAnsi="Times New Roman" w:cs="Times New Roman"/>
          <w:sz w:val="24"/>
          <w:szCs w:val="24"/>
        </w:rPr>
        <w:t xml:space="preserve"> an asbestos</w:t>
      </w:r>
      <w:r w:rsidR="000C6D88">
        <w:rPr>
          <w:rFonts w:ascii="Times New Roman" w:hAnsi="Times New Roman" w:cs="Times New Roman"/>
          <w:sz w:val="24"/>
          <w:szCs w:val="24"/>
        </w:rPr>
        <w:t xml:space="preserve"> plaintiff</w:t>
      </w:r>
      <w:r w:rsidR="00781715">
        <w:rPr>
          <w:rFonts w:ascii="Times New Roman" w:hAnsi="Times New Roman" w:cs="Times New Roman"/>
          <w:sz w:val="24"/>
          <w:szCs w:val="24"/>
        </w:rPr>
        <w:t xml:space="preserve"> need not present ev</w:t>
      </w:r>
      <w:r w:rsidR="00CC4D23">
        <w:rPr>
          <w:rFonts w:ascii="Times New Roman" w:hAnsi="Times New Roman" w:cs="Times New Roman"/>
          <w:sz w:val="24"/>
          <w:szCs w:val="24"/>
        </w:rPr>
        <w:t xml:space="preserve">idence of specific </w:t>
      </w:r>
      <w:r w:rsidR="00781715">
        <w:rPr>
          <w:rFonts w:ascii="Times New Roman" w:hAnsi="Times New Roman" w:cs="Times New Roman"/>
          <w:sz w:val="24"/>
          <w:szCs w:val="24"/>
        </w:rPr>
        <w:t xml:space="preserve">exposure </w:t>
      </w:r>
      <w:r w:rsidR="00CC4D23">
        <w:rPr>
          <w:rFonts w:ascii="Times New Roman" w:hAnsi="Times New Roman" w:cs="Times New Roman"/>
          <w:sz w:val="24"/>
          <w:szCs w:val="24"/>
        </w:rPr>
        <w:t>dosage</w:t>
      </w:r>
      <w:r w:rsidR="00781715">
        <w:rPr>
          <w:rFonts w:ascii="Times New Roman" w:hAnsi="Times New Roman" w:cs="Times New Roman"/>
          <w:sz w:val="24"/>
          <w:szCs w:val="24"/>
        </w:rPr>
        <w:t>s</w:t>
      </w:r>
      <w:r w:rsidR="00CC4D23">
        <w:rPr>
          <w:rFonts w:ascii="Times New Roman" w:hAnsi="Times New Roman" w:cs="Times New Roman"/>
          <w:sz w:val="24"/>
          <w:szCs w:val="24"/>
        </w:rPr>
        <w:t xml:space="preserve"> </w:t>
      </w:r>
      <w:r w:rsidR="00781715">
        <w:rPr>
          <w:rFonts w:ascii="Times New Roman" w:hAnsi="Times New Roman" w:cs="Times New Roman"/>
          <w:sz w:val="24"/>
          <w:szCs w:val="24"/>
        </w:rPr>
        <w:t>to prove a defendant liable</w:t>
      </w:r>
      <w:r w:rsidR="000C6D88">
        <w:rPr>
          <w:rFonts w:ascii="Times New Roman" w:hAnsi="Times New Roman" w:cs="Times New Roman"/>
          <w:sz w:val="24"/>
          <w:szCs w:val="24"/>
        </w:rPr>
        <w:t xml:space="preserve">.  </w:t>
      </w:r>
      <w:r w:rsidR="00BA15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D88" w:rsidP="00781715" w:rsidRDefault="000C6D88" w14:paraId="02EF749A" w14:textId="7777777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C6D88" w:rsidP="00B61EAD" w:rsidRDefault="000C6D88" w14:paraId="67DE880E" w14:textId="1A3CBADC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Sweredoski v. Daubert/DiPitrello</w:t>
      </w:r>
      <w:r w:rsidR="005055D2">
        <w:rPr>
          <w:rFonts w:ascii="Times New Roman" w:hAnsi="Times New Roman" w:cs="Times New Roman"/>
          <w:i/>
          <w:iCs/>
          <w:sz w:val="24"/>
          <w:szCs w:val="24"/>
        </w:rPr>
        <w:t xml:space="preserve"> – Defendant’s Liability v. Expert Admissibility</w:t>
      </w:r>
    </w:p>
    <w:p w:rsidR="00CC4D23" w:rsidP="00B61EAD" w:rsidRDefault="00CC4D23" w14:paraId="5151760D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10958" w:rsidP="005055D2" w:rsidRDefault="000C6D88" w14:paraId="1788AE2F" w14:textId="57AEE85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Court also made clear the distinction between the “</w:t>
      </w:r>
      <w:r w:rsidR="00CC4D23">
        <w:rPr>
          <w:rFonts w:ascii="Times New Roman" w:hAnsi="Times New Roman" w:cs="Times New Roman"/>
          <w:sz w:val="24"/>
          <w:szCs w:val="24"/>
        </w:rPr>
        <w:t>frequency, regularity, and proximit</w:t>
      </w:r>
      <w:r>
        <w:rPr>
          <w:rFonts w:ascii="Times New Roman" w:hAnsi="Times New Roman" w:cs="Times New Roman"/>
          <w:sz w:val="24"/>
          <w:szCs w:val="24"/>
        </w:rPr>
        <w:t xml:space="preserve">y” showing required under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Sweredoski </w:t>
      </w:r>
      <w:r>
        <w:rPr>
          <w:rFonts w:ascii="Times New Roman" w:hAnsi="Times New Roman" w:cs="Times New Roman"/>
          <w:sz w:val="24"/>
          <w:szCs w:val="24"/>
        </w:rPr>
        <w:t xml:space="preserve">to prove an asbestos defendant liable at trial versus the application of the </w:t>
      </w:r>
      <w:r>
        <w:rPr>
          <w:rFonts w:ascii="Times New Roman" w:hAnsi="Times New Roman" w:cs="Times New Roman"/>
          <w:i/>
          <w:iCs/>
          <w:sz w:val="24"/>
          <w:szCs w:val="24"/>
        </w:rPr>
        <w:t>Daubert/DiPitrello</w:t>
      </w:r>
      <w:r>
        <w:rPr>
          <w:rFonts w:ascii="Times New Roman" w:hAnsi="Times New Roman" w:cs="Times New Roman"/>
          <w:sz w:val="24"/>
          <w:szCs w:val="24"/>
        </w:rPr>
        <w:t xml:space="preserve"> standard for purposes of determining the admissibility of an expert’s testimony/opinions</w:t>
      </w:r>
      <w:r w:rsidR="005055D2">
        <w:rPr>
          <w:rFonts w:ascii="Times New Roman" w:hAnsi="Times New Roman" w:cs="Times New Roman"/>
          <w:sz w:val="24"/>
          <w:szCs w:val="24"/>
        </w:rPr>
        <w:t xml:space="preserve">. </w:t>
      </w:r>
      <w:r w:rsidR="00C1697B">
        <w:rPr>
          <w:rFonts w:ascii="Times New Roman" w:hAnsi="Times New Roman" w:cs="Times New Roman"/>
          <w:sz w:val="24"/>
          <w:szCs w:val="24"/>
        </w:rPr>
        <w:t xml:space="preserve"> </w:t>
      </w:r>
      <w:r w:rsidR="005055D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pecifically</w:t>
      </w:r>
      <w:r w:rsidR="001C5C67">
        <w:rPr>
          <w:rFonts w:ascii="Times New Roman" w:hAnsi="Times New Roman" w:cs="Times New Roman"/>
          <w:sz w:val="24"/>
          <w:szCs w:val="24"/>
        </w:rPr>
        <w:t>,</w:t>
      </w:r>
      <w:r w:rsidR="005055D2">
        <w:rPr>
          <w:rFonts w:ascii="Times New Roman" w:hAnsi="Times New Roman" w:cs="Times New Roman"/>
          <w:sz w:val="24"/>
          <w:szCs w:val="24"/>
        </w:rPr>
        <w:t xml:space="preserve"> under </w:t>
      </w:r>
      <w:r>
        <w:rPr>
          <w:rFonts w:ascii="Times New Roman" w:hAnsi="Times New Roman" w:cs="Times New Roman"/>
          <w:sz w:val="24"/>
          <w:szCs w:val="24"/>
        </w:rPr>
        <w:t>Rhode Island</w:t>
      </w:r>
      <w:r w:rsidR="002B3702">
        <w:rPr>
          <w:rFonts w:ascii="Times New Roman" w:hAnsi="Times New Roman" w:cs="Times New Roman"/>
          <w:sz w:val="24"/>
          <w:szCs w:val="24"/>
        </w:rPr>
        <w:t xml:space="preserve">’s </w:t>
      </w:r>
      <w:r w:rsidR="002B3702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2B3702">
        <w:rPr>
          <w:rFonts w:ascii="Times New Roman" w:hAnsi="Times New Roman" w:cs="Times New Roman"/>
          <w:i/>
          <w:iCs/>
          <w:sz w:val="24"/>
          <w:szCs w:val="24"/>
        </w:rPr>
        <w:t>aubert</w:t>
      </w:r>
      <w:r>
        <w:rPr>
          <w:rFonts w:ascii="Times New Roman" w:hAnsi="Times New Roman" w:cs="Times New Roman"/>
          <w:i/>
          <w:iCs/>
          <w:sz w:val="24"/>
          <w:szCs w:val="24"/>
        </w:rPr>
        <w:t>/DiP</w:t>
      </w:r>
      <w:r w:rsidRPr="001C5C67">
        <w:rPr>
          <w:rFonts w:ascii="Times New Roman" w:hAnsi="Times New Roman" w:cs="Times New Roman"/>
          <w:i/>
          <w:iCs/>
          <w:sz w:val="24"/>
          <w:szCs w:val="24"/>
        </w:rPr>
        <w:t>etrillo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055D2">
        <w:rPr>
          <w:rFonts w:ascii="Times New Roman" w:hAnsi="Times New Roman" w:cs="Times New Roman"/>
          <w:sz w:val="24"/>
          <w:szCs w:val="24"/>
        </w:rPr>
        <w:t xml:space="preserve">standard </w:t>
      </w:r>
      <w:r w:rsidR="001C5C67">
        <w:rPr>
          <w:rFonts w:ascii="Times New Roman" w:hAnsi="Times New Roman" w:cs="Times New Roman"/>
          <w:sz w:val="24"/>
          <w:szCs w:val="24"/>
        </w:rPr>
        <w:t>for expert</w:t>
      </w:r>
      <w:r>
        <w:rPr>
          <w:rFonts w:ascii="Times New Roman" w:hAnsi="Times New Roman" w:cs="Times New Roman"/>
          <w:sz w:val="24"/>
          <w:szCs w:val="24"/>
        </w:rPr>
        <w:t xml:space="preserve"> admissibility</w:t>
      </w:r>
      <w:r w:rsidR="00BA13EE">
        <w:rPr>
          <w:rFonts w:ascii="Times New Roman" w:hAnsi="Times New Roman" w:cs="Times New Roman"/>
          <w:sz w:val="24"/>
          <w:szCs w:val="24"/>
        </w:rPr>
        <w:t>,</w:t>
      </w:r>
      <w:r w:rsidR="005055D2">
        <w:rPr>
          <w:rFonts w:ascii="Times New Roman" w:hAnsi="Times New Roman" w:cs="Times New Roman"/>
          <w:sz w:val="24"/>
          <w:szCs w:val="24"/>
        </w:rPr>
        <w:t xml:space="preserve"> so long as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C5C67">
        <w:rPr>
          <w:rFonts w:ascii="Times New Roman" w:hAnsi="Times New Roman" w:cs="Times New Roman"/>
          <w:sz w:val="24"/>
          <w:szCs w:val="24"/>
        </w:rPr>
        <w:t>expert</w:t>
      </w:r>
      <w:r w:rsidR="005055D2">
        <w:rPr>
          <w:rFonts w:ascii="Times New Roman" w:hAnsi="Times New Roman" w:cs="Times New Roman"/>
          <w:sz w:val="24"/>
          <w:szCs w:val="24"/>
        </w:rPr>
        <w:t xml:space="preserve">’s </w:t>
      </w:r>
      <w:r w:rsidR="001C5C67">
        <w:rPr>
          <w:rFonts w:ascii="Times New Roman" w:hAnsi="Times New Roman" w:cs="Times New Roman"/>
          <w:sz w:val="24"/>
          <w:szCs w:val="24"/>
        </w:rPr>
        <w:t>testimony has a sound scientific basis and</w:t>
      </w:r>
      <w:r w:rsidR="005055D2">
        <w:rPr>
          <w:rFonts w:ascii="Times New Roman" w:hAnsi="Times New Roman" w:cs="Times New Roman"/>
          <w:sz w:val="24"/>
          <w:szCs w:val="24"/>
        </w:rPr>
        <w:t xml:space="preserve"> their opinions are r</w:t>
      </w:r>
      <w:r w:rsidR="001C5C67">
        <w:rPr>
          <w:rFonts w:ascii="Times New Roman" w:hAnsi="Times New Roman" w:cs="Times New Roman"/>
          <w:sz w:val="24"/>
          <w:szCs w:val="24"/>
        </w:rPr>
        <w:t xml:space="preserve">elevant to the </w:t>
      </w:r>
      <w:r w:rsidR="005055D2">
        <w:rPr>
          <w:rFonts w:ascii="Times New Roman" w:hAnsi="Times New Roman" w:cs="Times New Roman"/>
          <w:sz w:val="24"/>
          <w:szCs w:val="24"/>
        </w:rPr>
        <w:t xml:space="preserve">underlying </w:t>
      </w:r>
      <w:r w:rsidR="001C5C67">
        <w:rPr>
          <w:rFonts w:ascii="Times New Roman" w:hAnsi="Times New Roman" w:cs="Times New Roman"/>
          <w:sz w:val="24"/>
          <w:szCs w:val="24"/>
        </w:rPr>
        <w:t>action</w:t>
      </w:r>
      <w:r w:rsidR="00BA13EE">
        <w:rPr>
          <w:rFonts w:ascii="Times New Roman" w:hAnsi="Times New Roman" w:cs="Times New Roman"/>
          <w:sz w:val="24"/>
          <w:szCs w:val="24"/>
        </w:rPr>
        <w:t>,</w:t>
      </w:r>
      <w:r w:rsidR="005055D2">
        <w:rPr>
          <w:rFonts w:ascii="Times New Roman" w:hAnsi="Times New Roman" w:cs="Times New Roman"/>
          <w:sz w:val="24"/>
          <w:szCs w:val="24"/>
        </w:rPr>
        <w:t xml:space="preserve"> it is admissible</w:t>
      </w:r>
      <w:r w:rsidR="001C5C67">
        <w:rPr>
          <w:rFonts w:ascii="Times New Roman" w:hAnsi="Times New Roman" w:cs="Times New Roman"/>
          <w:sz w:val="24"/>
          <w:szCs w:val="24"/>
        </w:rPr>
        <w:t>.</w:t>
      </w:r>
      <w:r w:rsidR="005055D2">
        <w:rPr>
          <w:rFonts w:ascii="Times New Roman" w:hAnsi="Times New Roman" w:cs="Times New Roman"/>
          <w:sz w:val="24"/>
          <w:szCs w:val="24"/>
        </w:rPr>
        <w:t xml:space="preserve">  Citing Presiding Judge Alice Gibney from </w:t>
      </w:r>
      <w:r w:rsidR="005055D2">
        <w:rPr>
          <w:rFonts w:ascii="Times New Roman" w:hAnsi="Times New Roman" w:cs="Times New Roman"/>
          <w:i/>
          <w:iCs/>
          <w:sz w:val="24"/>
          <w:szCs w:val="24"/>
        </w:rPr>
        <w:t xml:space="preserve">Sweredoski, </w:t>
      </w:r>
      <w:r w:rsidR="005055D2">
        <w:rPr>
          <w:rFonts w:ascii="Times New Roman" w:hAnsi="Times New Roman" w:cs="Times New Roman"/>
          <w:sz w:val="24"/>
          <w:szCs w:val="24"/>
        </w:rPr>
        <w:t>“[o]</w:t>
      </w:r>
      <w:r w:rsidRPr="005055D2" w:rsidR="005055D2">
        <w:rPr>
          <w:rFonts w:ascii="Times New Roman" w:hAnsi="Times New Roman" w:cs="Times New Roman"/>
          <w:sz w:val="24"/>
          <w:szCs w:val="24"/>
        </w:rPr>
        <w:t xml:space="preserve">nce expert evidence is found to be scientifically valid, </w:t>
      </w:r>
      <w:r w:rsidR="00BA13EE">
        <w:rPr>
          <w:rFonts w:ascii="Times New Roman" w:hAnsi="Times New Roman" w:cs="Times New Roman"/>
          <w:sz w:val="24"/>
          <w:szCs w:val="24"/>
        </w:rPr>
        <w:t>‘</w:t>
      </w:r>
      <w:r w:rsidRPr="005055D2" w:rsidR="005055D2">
        <w:rPr>
          <w:rFonts w:ascii="Times New Roman" w:hAnsi="Times New Roman" w:cs="Times New Roman"/>
          <w:sz w:val="24"/>
          <w:szCs w:val="24"/>
        </w:rPr>
        <w:t>the</w:t>
      </w:r>
      <w:r w:rsidR="005055D2">
        <w:rPr>
          <w:rFonts w:ascii="Times New Roman" w:hAnsi="Times New Roman" w:cs="Times New Roman"/>
          <w:sz w:val="24"/>
          <w:szCs w:val="24"/>
        </w:rPr>
        <w:t xml:space="preserve"> </w:t>
      </w:r>
      <w:r w:rsidRPr="005055D2" w:rsidR="005055D2">
        <w:rPr>
          <w:rFonts w:ascii="Times New Roman" w:hAnsi="Times New Roman" w:cs="Times New Roman"/>
          <w:sz w:val="24"/>
          <w:szCs w:val="24"/>
        </w:rPr>
        <w:t>expert's testimony should be put to the trier of fact to determine how much weight to accord to the evidence</w:t>
      </w:r>
      <w:r w:rsidR="005055D2">
        <w:rPr>
          <w:rFonts w:ascii="Times New Roman" w:hAnsi="Times New Roman" w:cs="Times New Roman"/>
          <w:sz w:val="24"/>
          <w:szCs w:val="24"/>
        </w:rPr>
        <w:t>.”</w:t>
      </w:r>
      <w:r w:rsidR="00BC6E89">
        <w:rPr>
          <w:rFonts w:ascii="Times New Roman" w:hAnsi="Times New Roman" w:cs="Times New Roman"/>
          <w:sz w:val="24"/>
          <w:szCs w:val="24"/>
        </w:rPr>
        <w:t xml:space="preserve">  </w:t>
      </w:r>
      <w:r w:rsidR="001C5C67">
        <w:rPr>
          <w:rFonts w:ascii="Times New Roman" w:hAnsi="Times New Roman" w:cs="Times New Roman"/>
          <w:sz w:val="24"/>
          <w:szCs w:val="24"/>
        </w:rPr>
        <w:t xml:space="preserve"> Defendants may </w:t>
      </w:r>
      <w:r w:rsidR="00BC6E89">
        <w:rPr>
          <w:rFonts w:ascii="Times New Roman" w:hAnsi="Times New Roman" w:cs="Times New Roman"/>
          <w:sz w:val="24"/>
          <w:szCs w:val="24"/>
        </w:rPr>
        <w:t>then attempt to undermine before the jury an expert’s</w:t>
      </w:r>
      <w:r w:rsidR="001C5C67">
        <w:rPr>
          <w:rFonts w:ascii="Times New Roman" w:hAnsi="Times New Roman" w:cs="Times New Roman"/>
          <w:sz w:val="24"/>
          <w:szCs w:val="24"/>
        </w:rPr>
        <w:t xml:space="preserve"> testimony at trial </w:t>
      </w:r>
      <w:r w:rsidR="00BC6E89">
        <w:rPr>
          <w:rFonts w:ascii="Times New Roman" w:hAnsi="Times New Roman" w:cs="Times New Roman"/>
          <w:sz w:val="24"/>
          <w:szCs w:val="24"/>
        </w:rPr>
        <w:t>through</w:t>
      </w:r>
      <w:r w:rsidR="001C5C67">
        <w:rPr>
          <w:rFonts w:ascii="Times New Roman" w:hAnsi="Times New Roman" w:cs="Times New Roman"/>
          <w:sz w:val="24"/>
          <w:szCs w:val="24"/>
        </w:rPr>
        <w:t xml:space="preserve"> cross</w:t>
      </w:r>
      <w:r w:rsidR="00BC6E89">
        <w:rPr>
          <w:rFonts w:ascii="Times New Roman" w:hAnsi="Times New Roman" w:cs="Times New Roman"/>
          <w:sz w:val="24"/>
          <w:szCs w:val="24"/>
        </w:rPr>
        <w:t>-</w:t>
      </w:r>
      <w:r w:rsidR="001C5C67">
        <w:rPr>
          <w:rFonts w:ascii="Times New Roman" w:hAnsi="Times New Roman" w:cs="Times New Roman"/>
          <w:sz w:val="24"/>
          <w:szCs w:val="24"/>
        </w:rPr>
        <w:t>examination</w:t>
      </w:r>
      <w:r w:rsidR="00BC6E89">
        <w:rPr>
          <w:rFonts w:ascii="Times New Roman" w:hAnsi="Times New Roman" w:cs="Times New Roman"/>
          <w:sz w:val="24"/>
          <w:szCs w:val="24"/>
        </w:rPr>
        <w:t xml:space="preserve"> and</w:t>
      </w:r>
      <w:r w:rsidR="001C5C67">
        <w:rPr>
          <w:rFonts w:ascii="Times New Roman" w:hAnsi="Times New Roman" w:cs="Times New Roman"/>
          <w:sz w:val="24"/>
          <w:szCs w:val="24"/>
        </w:rPr>
        <w:t xml:space="preserve"> the introduction of competing evidence</w:t>
      </w:r>
      <w:r w:rsidR="00BC6E89">
        <w:rPr>
          <w:rFonts w:ascii="Times New Roman" w:hAnsi="Times New Roman" w:cs="Times New Roman"/>
          <w:sz w:val="24"/>
          <w:szCs w:val="24"/>
        </w:rPr>
        <w:t xml:space="preserve"> to undermine any opinions of the expert based on the </w:t>
      </w:r>
      <w:r w:rsidR="001C5C67">
        <w:rPr>
          <w:rFonts w:ascii="Times New Roman" w:hAnsi="Times New Roman" w:cs="Times New Roman"/>
          <w:sz w:val="24"/>
          <w:szCs w:val="24"/>
        </w:rPr>
        <w:t xml:space="preserve">“each and every exposure” theory. </w:t>
      </w:r>
    </w:p>
    <w:p w:rsidR="00BC6E89" w:rsidP="00110958" w:rsidRDefault="00BC6E89" w14:paraId="51D49F1C" w14:textId="7777777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Pr="00CC4D23" w:rsidR="00BC6E89" w:rsidP="00B61EAD" w:rsidRDefault="00BC6E89" w14:paraId="68FCFD56" w14:textId="4D9BB2BA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Warning Testimony</w:t>
      </w:r>
    </w:p>
    <w:p w:rsidR="002D1133" w:rsidP="00BA15E6" w:rsidRDefault="002D1133" w14:paraId="6C98C43A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A15E6" w:rsidP="007C5E0C" w:rsidRDefault="00402367" w14:paraId="0F0F9B2A" w14:textId="618E595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to </w:t>
      </w:r>
      <w:r w:rsidR="00BA15E6">
        <w:rPr>
          <w:rFonts w:ascii="Times New Roman" w:hAnsi="Times New Roman" w:cs="Times New Roman"/>
          <w:sz w:val="24"/>
          <w:szCs w:val="24"/>
        </w:rPr>
        <w:t xml:space="preserve">Dr. Ellenbecker’s </w:t>
      </w:r>
      <w:r>
        <w:rPr>
          <w:rFonts w:ascii="Times New Roman" w:hAnsi="Times New Roman" w:cs="Times New Roman"/>
          <w:sz w:val="24"/>
          <w:szCs w:val="24"/>
        </w:rPr>
        <w:t>warnings</w:t>
      </w:r>
      <w:r w:rsidR="00BA15E6">
        <w:rPr>
          <w:rFonts w:ascii="Times New Roman" w:hAnsi="Times New Roman" w:cs="Times New Roman"/>
          <w:sz w:val="24"/>
          <w:szCs w:val="24"/>
        </w:rPr>
        <w:t xml:space="preserve"> testimony</w:t>
      </w:r>
      <w:r w:rsidR="00BC6E89">
        <w:rPr>
          <w:rFonts w:ascii="Times New Roman" w:hAnsi="Times New Roman" w:cs="Times New Roman"/>
          <w:sz w:val="24"/>
          <w:szCs w:val="24"/>
        </w:rPr>
        <w:t xml:space="preserve"> </w:t>
      </w:r>
      <w:r w:rsidR="00BA15E6">
        <w:rPr>
          <w:rFonts w:ascii="Times New Roman" w:hAnsi="Times New Roman" w:cs="Times New Roman"/>
          <w:sz w:val="24"/>
          <w:szCs w:val="24"/>
        </w:rPr>
        <w:t xml:space="preserve">the Court found </w:t>
      </w:r>
      <w:r w:rsidR="00853D6E">
        <w:rPr>
          <w:rFonts w:ascii="Times New Roman" w:hAnsi="Times New Roman" w:cs="Times New Roman"/>
          <w:sz w:val="24"/>
          <w:szCs w:val="24"/>
        </w:rPr>
        <w:t xml:space="preserve">his </w:t>
      </w:r>
      <w:r w:rsidR="00BA15E6">
        <w:rPr>
          <w:rFonts w:ascii="Times New Roman" w:hAnsi="Times New Roman" w:cs="Times New Roman"/>
          <w:sz w:val="24"/>
          <w:szCs w:val="24"/>
        </w:rPr>
        <w:t xml:space="preserve">own </w:t>
      </w:r>
      <w:r w:rsidR="00BC6E89">
        <w:rPr>
          <w:rFonts w:ascii="Times New Roman" w:hAnsi="Times New Roman" w:cs="Times New Roman"/>
          <w:sz w:val="24"/>
          <w:szCs w:val="24"/>
        </w:rPr>
        <w:t xml:space="preserve">admission </w:t>
      </w:r>
      <w:r w:rsidR="00BA15E6">
        <w:rPr>
          <w:rFonts w:ascii="Times New Roman" w:hAnsi="Times New Roman" w:cs="Times New Roman"/>
          <w:sz w:val="24"/>
          <w:szCs w:val="24"/>
        </w:rPr>
        <w:t xml:space="preserve">that he was not a “warnings expert,” </w:t>
      </w:r>
      <w:r w:rsidR="00BC6E89">
        <w:rPr>
          <w:rFonts w:ascii="Times New Roman" w:hAnsi="Times New Roman" w:cs="Times New Roman"/>
          <w:sz w:val="24"/>
          <w:szCs w:val="24"/>
        </w:rPr>
        <w:t xml:space="preserve">coupled with his </w:t>
      </w:r>
      <w:r w:rsidR="00BA15E6">
        <w:rPr>
          <w:rFonts w:ascii="Times New Roman" w:hAnsi="Times New Roman" w:cs="Times New Roman"/>
          <w:sz w:val="24"/>
          <w:szCs w:val="24"/>
        </w:rPr>
        <w:t xml:space="preserve">insufficient </w:t>
      </w:r>
      <w:r w:rsidR="00110958">
        <w:rPr>
          <w:rFonts w:ascii="Times New Roman" w:hAnsi="Times New Roman" w:cs="Times New Roman"/>
          <w:sz w:val="24"/>
          <w:szCs w:val="24"/>
        </w:rPr>
        <w:t xml:space="preserve">experience in </w:t>
      </w:r>
      <w:r w:rsidR="00BC6E89">
        <w:rPr>
          <w:rFonts w:ascii="Times New Roman" w:hAnsi="Times New Roman" w:cs="Times New Roman"/>
          <w:sz w:val="24"/>
          <w:szCs w:val="24"/>
        </w:rPr>
        <w:t xml:space="preserve">warning </w:t>
      </w:r>
      <w:r w:rsidR="00110958">
        <w:rPr>
          <w:rFonts w:ascii="Times New Roman" w:hAnsi="Times New Roman" w:cs="Times New Roman"/>
          <w:sz w:val="24"/>
          <w:szCs w:val="24"/>
        </w:rPr>
        <w:t>design</w:t>
      </w:r>
      <w:r w:rsidR="00BA15E6">
        <w:rPr>
          <w:rFonts w:ascii="Times New Roman" w:hAnsi="Times New Roman" w:cs="Times New Roman"/>
          <w:sz w:val="24"/>
          <w:szCs w:val="24"/>
        </w:rPr>
        <w:t xml:space="preserve">, </w:t>
      </w:r>
      <w:r w:rsidR="00110958">
        <w:rPr>
          <w:rFonts w:ascii="Times New Roman" w:hAnsi="Times New Roman" w:cs="Times New Roman"/>
          <w:sz w:val="24"/>
          <w:szCs w:val="24"/>
        </w:rPr>
        <w:t>preclude</w:t>
      </w:r>
      <w:r w:rsidR="00BC6E89">
        <w:rPr>
          <w:rFonts w:ascii="Times New Roman" w:hAnsi="Times New Roman" w:cs="Times New Roman"/>
          <w:sz w:val="24"/>
          <w:szCs w:val="24"/>
        </w:rPr>
        <w:t>d</w:t>
      </w:r>
      <w:r w:rsidR="00110958">
        <w:rPr>
          <w:rFonts w:ascii="Times New Roman" w:hAnsi="Times New Roman" w:cs="Times New Roman"/>
          <w:sz w:val="24"/>
          <w:szCs w:val="24"/>
        </w:rPr>
        <w:t xml:space="preserve"> him from </w:t>
      </w:r>
      <w:r w:rsidR="00BA15E6">
        <w:rPr>
          <w:rFonts w:ascii="Times New Roman" w:hAnsi="Times New Roman" w:cs="Times New Roman"/>
          <w:sz w:val="24"/>
          <w:szCs w:val="24"/>
        </w:rPr>
        <w:t>provid</w:t>
      </w:r>
      <w:r w:rsidR="00110958">
        <w:rPr>
          <w:rFonts w:ascii="Times New Roman" w:hAnsi="Times New Roman" w:cs="Times New Roman"/>
          <w:sz w:val="24"/>
          <w:szCs w:val="24"/>
        </w:rPr>
        <w:t>ing</w:t>
      </w:r>
      <w:r w:rsidR="00BA15E6">
        <w:rPr>
          <w:rFonts w:ascii="Times New Roman" w:hAnsi="Times New Roman" w:cs="Times New Roman"/>
          <w:sz w:val="24"/>
          <w:szCs w:val="24"/>
        </w:rPr>
        <w:t xml:space="preserve"> testimony on the adequacy of warnings.</w:t>
      </w:r>
      <w:r w:rsidR="00853D6E">
        <w:rPr>
          <w:rFonts w:ascii="Times New Roman" w:hAnsi="Times New Roman" w:cs="Times New Roman"/>
          <w:sz w:val="24"/>
          <w:szCs w:val="24"/>
        </w:rPr>
        <w:t xml:space="preserve"> Notwithstanding, the Court noted that Dr. Ellenbecker’s warnings opinions amounted to his assertions that Defendants </w:t>
      </w:r>
      <w:r w:rsidR="00853D6E">
        <w:rPr>
          <w:rFonts w:ascii="Times New Roman" w:hAnsi="Times New Roman" w:cs="Times New Roman"/>
          <w:i/>
          <w:iCs/>
          <w:sz w:val="24"/>
          <w:szCs w:val="24"/>
        </w:rPr>
        <w:t>should have</w:t>
      </w:r>
      <w:r w:rsidR="00853D6E">
        <w:rPr>
          <w:rFonts w:ascii="Times New Roman" w:hAnsi="Times New Roman" w:cs="Times New Roman"/>
          <w:sz w:val="24"/>
          <w:szCs w:val="24"/>
        </w:rPr>
        <w:t xml:space="preserve"> warned, and </w:t>
      </w:r>
      <w:r w:rsidR="007C5E0C">
        <w:rPr>
          <w:rFonts w:ascii="Times New Roman" w:hAnsi="Times New Roman" w:cs="Times New Roman"/>
          <w:sz w:val="24"/>
          <w:szCs w:val="24"/>
        </w:rPr>
        <w:t xml:space="preserve">that warnings </w:t>
      </w:r>
      <w:r w:rsidRPr="00B61EAD" w:rsidR="007C5E0C">
        <w:rPr>
          <w:rFonts w:ascii="Times New Roman" w:hAnsi="Times New Roman" w:cs="Times New Roman"/>
          <w:i/>
          <w:iCs/>
          <w:sz w:val="24"/>
          <w:szCs w:val="24"/>
        </w:rPr>
        <w:t>could</w:t>
      </w:r>
      <w:r w:rsidR="007C5E0C">
        <w:rPr>
          <w:rFonts w:ascii="Times New Roman" w:hAnsi="Times New Roman" w:cs="Times New Roman"/>
          <w:sz w:val="24"/>
          <w:szCs w:val="24"/>
        </w:rPr>
        <w:t xml:space="preserve"> help limit asbestos hazards. In applying the </w:t>
      </w:r>
      <w:r w:rsidR="007C5E0C">
        <w:rPr>
          <w:rFonts w:ascii="Times New Roman" w:hAnsi="Times New Roman" w:cs="Times New Roman"/>
          <w:i/>
          <w:iCs/>
          <w:sz w:val="24"/>
          <w:szCs w:val="24"/>
        </w:rPr>
        <w:t>Daubert/DiPitrello</w:t>
      </w:r>
      <w:r w:rsidR="007C5E0C">
        <w:rPr>
          <w:rFonts w:ascii="Times New Roman" w:hAnsi="Times New Roman" w:cs="Times New Roman"/>
          <w:sz w:val="24"/>
          <w:szCs w:val="24"/>
        </w:rPr>
        <w:t xml:space="preserve"> standard (above), based on Dr. Ellenbecker’s qualifications as an industrial hygienist he was deemed qualified to opine on “administrative controls”, such as warnings, and since his testimony considered</w:t>
      </w:r>
      <w:r w:rsidRPr="00CF4A5D" w:rsidR="00CF4A5D">
        <w:rPr>
          <w:rFonts w:ascii="Times New Roman" w:hAnsi="Times New Roman" w:cs="Times New Roman"/>
          <w:sz w:val="24"/>
          <w:szCs w:val="24"/>
        </w:rPr>
        <w:t xml:space="preserve"> the specific facts of </w:t>
      </w:r>
      <w:r w:rsidR="007C5E0C">
        <w:rPr>
          <w:rFonts w:ascii="Times New Roman" w:hAnsi="Times New Roman" w:cs="Times New Roman"/>
          <w:sz w:val="24"/>
          <w:szCs w:val="24"/>
        </w:rPr>
        <w:t xml:space="preserve">the case it was relevant and could assist the jury in determining liability.  Accordingly, </w:t>
      </w:r>
      <w:r w:rsidR="00BC6E89">
        <w:rPr>
          <w:rFonts w:ascii="Times New Roman" w:hAnsi="Times New Roman" w:cs="Times New Roman"/>
          <w:sz w:val="24"/>
          <w:szCs w:val="24"/>
        </w:rPr>
        <w:t xml:space="preserve">though </w:t>
      </w:r>
      <w:r w:rsidR="007C5E0C">
        <w:rPr>
          <w:rFonts w:ascii="Times New Roman" w:hAnsi="Times New Roman" w:cs="Times New Roman"/>
          <w:sz w:val="24"/>
          <w:szCs w:val="24"/>
        </w:rPr>
        <w:t xml:space="preserve">he was precluded from testifying as to the </w:t>
      </w:r>
      <w:r w:rsidR="007C5E0C">
        <w:rPr>
          <w:rFonts w:ascii="Times New Roman" w:hAnsi="Times New Roman" w:cs="Times New Roman"/>
          <w:i/>
          <w:iCs/>
          <w:sz w:val="24"/>
          <w:szCs w:val="24"/>
        </w:rPr>
        <w:t xml:space="preserve">adequacy </w:t>
      </w:r>
      <w:r w:rsidR="007C5E0C">
        <w:rPr>
          <w:rFonts w:ascii="Times New Roman" w:hAnsi="Times New Roman" w:cs="Times New Roman"/>
          <w:sz w:val="24"/>
          <w:szCs w:val="24"/>
        </w:rPr>
        <w:t xml:space="preserve">of asbestos warnings, </w:t>
      </w:r>
      <w:r w:rsidR="00BA15E6">
        <w:rPr>
          <w:rFonts w:ascii="Times New Roman" w:hAnsi="Times New Roman" w:cs="Times New Roman"/>
          <w:sz w:val="24"/>
          <w:szCs w:val="24"/>
        </w:rPr>
        <w:t xml:space="preserve">Dr. Ellenbecker </w:t>
      </w:r>
      <w:r w:rsidR="00BC6E89">
        <w:rPr>
          <w:rFonts w:ascii="Times New Roman" w:hAnsi="Times New Roman" w:cs="Times New Roman"/>
          <w:sz w:val="24"/>
          <w:szCs w:val="24"/>
        </w:rPr>
        <w:t>was permitted to</w:t>
      </w:r>
      <w:r w:rsidR="00BA15E6">
        <w:rPr>
          <w:rFonts w:ascii="Times New Roman" w:hAnsi="Times New Roman" w:cs="Times New Roman"/>
          <w:sz w:val="24"/>
          <w:szCs w:val="24"/>
        </w:rPr>
        <w:t xml:space="preserve"> testify </w:t>
      </w:r>
      <w:r w:rsidR="00BC6E89">
        <w:rPr>
          <w:rFonts w:ascii="Times New Roman" w:hAnsi="Times New Roman" w:cs="Times New Roman"/>
          <w:sz w:val="24"/>
          <w:szCs w:val="24"/>
        </w:rPr>
        <w:t>regarding the</w:t>
      </w:r>
      <w:r w:rsidR="00BA15E6">
        <w:rPr>
          <w:rFonts w:ascii="Times New Roman" w:hAnsi="Times New Roman" w:cs="Times New Roman"/>
          <w:sz w:val="24"/>
          <w:szCs w:val="24"/>
        </w:rPr>
        <w:t xml:space="preserve"> amount of asbestos ordinarily </w:t>
      </w:r>
      <w:r w:rsidR="00BA15E6">
        <w:rPr>
          <w:rFonts w:ascii="Times New Roman" w:hAnsi="Times New Roman" w:cs="Times New Roman"/>
          <w:sz w:val="24"/>
          <w:szCs w:val="24"/>
        </w:rPr>
        <w:lastRenderedPageBreak/>
        <w:t xml:space="preserve">released from products similar to </w:t>
      </w:r>
      <w:r w:rsidR="00BC6E89">
        <w:rPr>
          <w:rFonts w:ascii="Times New Roman" w:hAnsi="Times New Roman" w:cs="Times New Roman"/>
          <w:sz w:val="24"/>
          <w:szCs w:val="24"/>
        </w:rPr>
        <w:t>Defendants</w:t>
      </w:r>
      <w:r w:rsidR="00BA15E6">
        <w:rPr>
          <w:rFonts w:ascii="Times New Roman" w:hAnsi="Times New Roman" w:cs="Times New Roman"/>
          <w:sz w:val="24"/>
          <w:szCs w:val="24"/>
        </w:rPr>
        <w:t xml:space="preserve"> based on his review of </w:t>
      </w:r>
      <w:r w:rsidR="00BC6E89">
        <w:rPr>
          <w:rFonts w:ascii="Times New Roman" w:hAnsi="Times New Roman" w:cs="Times New Roman"/>
          <w:sz w:val="24"/>
          <w:szCs w:val="24"/>
        </w:rPr>
        <w:t xml:space="preserve">available </w:t>
      </w:r>
      <w:r w:rsidR="00BA15E6">
        <w:rPr>
          <w:rFonts w:ascii="Times New Roman" w:hAnsi="Times New Roman" w:cs="Times New Roman"/>
          <w:sz w:val="24"/>
          <w:szCs w:val="24"/>
        </w:rPr>
        <w:t xml:space="preserve">literature and how warnings could alert workers to </w:t>
      </w:r>
      <w:r w:rsidR="00BC6E89">
        <w:rPr>
          <w:rFonts w:ascii="Times New Roman" w:hAnsi="Times New Roman" w:cs="Times New Roman"/>
          <w:sz w:val="24"/>
          <w:szCs w:val="24"/>
        </w:rPr>
        <w:t xml:space="preserve">asbestos </w:t>
      </w:r>
      <w:r w:rsidR="00BA15E6">
        <w:rPr>
          <w:rFonts w:ascii="Times New Roman" w:hAnsi="Times New Roman" w:cs="Times New Roman"/>
          <w:sz w:val="24"/>
          <w:szCs w:val="24"/>
        </w:rPr>
        <w:t xml:space="preserve">dangers </w:t>
      </w:r>
      <w:r w:rsidR="00110958">
        <w:rPr>
          <w:rFonts w:ascii="Times New Roman" w:hAnsi="Times New Roman" w:cs="Times New Roman"/>
          <w:sz w:val="24"/>
          <w:szCs w:val="24"/>
        </w:rPr>
        <w:t>in occupational settings</w:t>
      </w:r>
      <w:r w:rsidR="007C5E0C">
        <w:rPr>
          <w:rFonts w:ascii="Times New Roman" w:hAnsi="Times New Roman" w:cs="Times New Roman"/>
          <w:sz w:val="24"/>
          <w:szCs w:val="24"/>
        </w:rPr>
        <w:t>.</w:t>
      </w:r>
      <w:r w:rsidR="00BA15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4A5D" w:rsidP="00BA15E6" w:rsidRDefault="00CF4A5D" w14:paraId="0868AE4A" w14:textId="7777777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F4A5D" w:rsidP="00B61EAD" w:rsidRDefault="007C5E0C" w14:paraId="50AB507B" w14:textId="37DAEE35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Asbestos Content of UCC Products</w:t>
      </w:r>
    </w:p>
    <w:p w:rsidR="00BE6DDC" w:rsidP="00BA15E6" w:rsidRDefault="00BE6DDC" w14:paraId="48D50759" w14:textId="7777777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Pr="001F3F45" w:rsidR="001F3F45" w:rsidP="00BE6DDC" w:rsidRDefault="00BE6DDC" w14:paraId="79A8BA66" w14:textId="72C4D0B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Finally, the Court briefly discussed UCC’s argument that both Dr. Kradin and Dr. Ellenbecker </w:t>
      </w:r>
      <w:r w:rsidR="007C5E0C">
        <w:rPr>
          <w:rFonts w:ascii="Times New Roman" w:hAnsi="Times New Roman" w:cs="Times New Roman"/>
          <w:sz w:val="24"/>
          <w:szCs w:val="24"/>
        </w:rPr>
        <w:t xml:space="preserve">should be precluded from testifying </w:t>
      </w:r>
      <w:r>
        <w:rPr>
          <w:rFonts w:ascii="Times New Roman" w:hAnsi="Times New Roman" w:cs="Times New Roman"/>
          <w:sz w:val="24"/>
          <w:szCs w:val="24"/>
        </w:rPr>
        <w:t>that the products utilized by Mr. Bonito contained UCC Calidria brand asbestos and/or UCC phenolic molding compound</w:t>
      </w:r>
      <w:r w:rsidR="007C5E0C">
        <w:rPr>
          <w:rFonts w:ascii="Times New Roman" w:hAnsi="Times New Roman" w:cs="Times New Roman"/>
          <w:sz w:val="24"/>
          <w:szCs w:val="24"/>
        </w:rPr>
        <w:t xml:space="preserve"> because neither expert </w:t>
      </w:r>
      <w:r>
        <w:rPr>
          <w:rFonts w:ascii="Times New Roman" w:hAnsi="Times New Roman" w:cs="Times New Roman"/>
          <w:sz w:val="24"/>
          <w:szCs w:val="24"/>
        </w:rPr>
        <w:t>reviewed UCC</w:t>
      </w:r>
      <w:r w:rsidR="007C5E0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specific documents, the products themselves, or </w:t>
      </w:r>
      <w:r w:rsidR="007C5E0C">
        <w:rPr>
          <w:rFonts w:ascii="Times New Roman" w:hAnsi="Times New Roman" w:cs="Times New Roman"/>
          <w:sz w:val="24"/>
          <w:szCs w:val="24"/>
        </w:rPr>
        <w:t xml:space="preserve">its </w:t>
      </w:r>
      <w:r>
        <w:rPr>
          <w:rFonts w:ascii="Times New Roman" w:hAnsi="Times New Roman" w:cs="Times New Roman"/>
          <w:sz w:val="24"/>
          <w:szCs w:val="24"/>
        </w:rPr>
        <w:t>corporate deposition testimony</w:t>
      </w:r>
      <w:r w:rsidR="007C5E0C">
        <w:rPr>
          <w:rFonts w:ascii="Times New Roman" w:hAnsi="Times New Roman" w:cs="Times New Roman"/>
          <w:sz w:val="24"/>
          <w:szCs w:val="24"/>
        </w:rPr>
        <w:t xml:space="preserve"> and both experts admitted </w:t>
      </w:r>
      <w:r w:rsidR="00056C42">
        <w:rPr>
          <w:rFonts w:ascii="Times New Roman" w:hAnsi="Times New Roman" w:cs="Times New Roman"/>
          <w:sz w:val="24"/>
          <w:szCs w:val="24"/>
        </w:rPr>
        <w:t>that</w:t>
      </w:r>
      <w:r w:rsidR="007741C0">
        <w:rPr>
          <w:rFonts w:ascii="Times New Roman" w:hAnsi="Times New Roman" w:cs="Times New Roman"/>
          <w:sz w:val="24"/>
          <w:szCs w:val="24"/>
        </w:rPr>
        <w:t xml:space="preserve"> </w:t>
      </w:r>
      <w:r w:rsidR="00056C42">
        <w:rPr>
          <w:rFonts w:ascii="Times New Roman" w:hAnsi="Times New Roman" w:cs="Times New Roman"/>
          <w:sz w:val="24"/>
          <w:szCs w:val="24"/>
        </w:rPr>
        <w:t xml:space="preserve">they do not have a factual basis to conclude </w:t>
      </w:r>
      <w:r w:rsidR="007741C0">
        <w:rPr>
          <w:rFonts w:ascii="Times New Roman" w:hAnsi="Times New Roman" w:cs="Times New Roman"/>
          <w:sz w:val="24"/>
          <w:szCs w:val="24"/>
        </w:rPr>
        <w:t xml:space="preserve">the </w:t>
      </w:r>
      <w:r w:rsidR="00056C42">
        <w:rPr>
          <w:rFonts w:ascii="Times New Roman" w:hAnsi="Times New Roman" w:cs="Times New Roman"/>
          <w:sz w:val="24"/>
          <w:szCs w:val="24"/>
        </w:rPr>
        <w:t xml:space="preserve">UCC </w:t>
      </w:r>
      <w:r w:rsidR="007741C0">
        <w:rPr>
          <w:rFonts w:ascii="Times New Roman" w:hAnsi="Times New Roman" w:cs="Times New Roman"/>
          <w:sz w:val="24"/>
          <w:szCs w:val="24"/>
        </w:rPr>
        <w:t xml:space="preserve">joint compound at issue contained asbestos.  </w:t>
      </w:r>
      <w:r w:rsidR="00056C42">
        <w:rPr>
          <w:rFonts w:ascii="Times New Roman" w:hAnsi="Times New Roman" w:cs="Times New Roman"/>
          <w:sz w:val="24"/>
          <w:szCs w:val="24"/>
        </w:rPr>
        <w:t xml:space="preserve">While the Court </w:t>
      </w:r>
      <w:r w:rsidR="003B5CC7">
        <w:rPr>
          <w:rFonts w:ascii="Times New Roman" w:hAnsi="Times New Roman" w:cs="Times New Roman"/>
          <w:sz w:val="24"/>
          <w:szCs w:val="24"/>
        </w:rPr>
        <w:t xml:space="preserve">initially </w:t>
      </w:r>
      <w:r w:rsidR="00056C42">
        <w:rPr>
          <w:rFonts w:ascii="Times New Roman" w:hAnsi="Times New Roman" w:cs="Times New Roman"/>
          <w:sz w:val="24"/>
          <w:szCs w:val="24"/>
        </w:rPr>
        <w:t xml:space="preserve">agreed that both experts </w:t>
      </w:r>
      <w:r w:rsidR="007741C0">
        <w:rPr>
          <w:rFonts w:ascii="Times New Roman" w:hAnsi="Times New Roman" w:cs="Times New Roman"/>
          <w:sz w:val="24"/>
          <w:szCs w:val="24"/>
        </w:rPr>
        <w:t xml:space="preserve">relied </w:t>
      </w:r>
      <w:r w:rsidR="00056C42">
        <w:rPr>
          <w:rFonts w:ascii="Times New Roman" w:hAnsi="Times New Roman" w:cs="Times New Roman"/>
          <w:sz w:val="24"/>
          <w:szCs w:val="24"/>
        </w:rPr>
        <w:t xml:space="preserve"> on speculative evidence </w:t>
      </w:r>
      <w:r w:rsidR="007741C0">
        <w:rPr>
          <w:rFonts w:ascii="Times New Roman" w:hAnsi="Times New Roman" w:cs="Times New Roman"/>
          <w:sz w:val="24"/>
          <w:szCs w:val="24"/>
        </w:rPr>
        <w:t>to determine the joint compound at issue contained asbestos, the Court ultimately referenced prior person-most-knowledgeable t</w:t>
      </w:r>
      <w:r w:rsidR="003B5CC7">
        <w:rPr>
          <w:rFonts w:ascii="Times New Roman" w:hAnsi="Times New Roman" w:cs="Times New Roman"/>
          <w:sz w:val="24"/>
          <w:szCs w:val="24"/>
        </w:rPr>
        <w:t>estimony</w:t>
      </w:r>
      <w:r w:rsidR="007741C0">
        <w:rPr>
          <w:rFonts w:ascii="Times New Roman" w:hAnsi="Times New Roman" w:cs="Times New Roman"/>
          <w:sz w:val="24"/>
          <w:szCs w:val="24"/>
        </w:rPr>
        <w:t xml:space="preserve"> from Georgia Pacific indicating that </w:t>
      </w:r>
      <w:r w:rsidR="003B5CC7">
        <w:rPr>
          <w:rFonts w:ascii="Times New Roman" w:hAnsi="Times New Roman" w:cs="Times New Roman"/>
          <w:sz w:val="24"/>
          <w:szCs w:val="24"/>
        </w:rPr>
        <w:t>all Georgia</w:t>
      </w:r>
      <w:r w:rsidR="007741C0">
        <w:rPr>
          <w:rFonts w:ascii="Times New Roman" w:hAnsi="Times New Roman" w:cs="Times New Roman"/>
          <w:sz w:val="24"/>
          <w:szCs w:val="24"/>
        </w:rPr>
        <w:t xml:space="preserve"> </w:t>
      </w:r>
      <w:r w:rsidR="003B5CC7">
        <w:rPr>
          <w:rFonts w:ascii="Times New Roman" w:hAnsi="Times New Roman" w:cs="Times New Roman"/>
          <w:sz w:val="24"/>
          <w:szCs w:val="24"/>
        </w:rPr>
        <w:t>Pacific joint compound sold during the relevant time period contained UCC</w:t>
      </w:r>
      <w:r w:rsidR="007741C0">
        <w:rPr>
          <w:rFonts w:ascii="Times New Roman" w:hAnsi="Times New Roman" w:cs="Times New Roman"/>
          <w:sz w:val="24"/>
          <w:szCs w:val="24"/>
        </w:rPr>
        <w:t xml:space="preserve"> </w:t>
      </w:r>
      <w:r w:rsidR="003B5CC7">
        <w:rPr>
          <w:rFonts w:ascii="Times New Roman" w:hAnsi="Times New Roman" w:cs="Times New Roman"/>
          <w:sz w:val="24"/>
          <w:szCs w:val="24"/>
        </w:rPr>
        <w:t xml:space="preserve">asbestos. </w:t>
      </w:r>
      <w:r w:rsidR="007741C0">
        <w:rPr>
          <w:rFonts w:ascii="Times New Roman" w:hAnsi="Times New Roman" w:cs="Times New Roman"/>
          <w:sz w:val="24"/>
          <w:szCs w:val="24"/>
        </w:rPr>
        <w:t xml:space="preserve"> </w:t>
      </w:r>
      <w:r w:rsidR="003B5CC7">
        <w:rPr>
          <w:rFonts w:ascii="Times New Roman" w:hAnsi="Times New Roman" w:cs="Times New Roman"/>
          <w:sz w:val="24"/>
          <w:szCs w:val="24"/>
        </w:rPr>
        <w:t xml:space="preserve">As such, the Court found that this evidence, alongside Mr. Bonito’s testimony, provide a sufficient factual basis </w:t>
      </w:r>
      <w:r w:rsidR="007741C0">
        <w:rPr>
          <w:rFonts w:ascii="Times New Roman" w:hAnsi="Times New Roman" w:cs="Times New Roman"/>
          <w:sz w:val="24"/>
          <w:szCs w:val="24"/>
        </w:rPr>
        <w:t xml:space="preserve">satisfying the </w:t>
      </w:r>
      <w:r w:rsidR="007741C0">
        <w:rPr>
          <w:rFonts w:ascii="Times New Roman" w:hAnsi="Times New Roman" w:cs="Times New Roman"/>
          <w:i/>
          <w:iCs/>
          <w:sz w:val="24"/>
          <w:szCs w:val="24"/>
        </w:rPr>
        <w:t xml:space="preserve">Daubert/DiPitrello </w:t>
      </w:r>
      <w:r w:rsidR="007741C0">
        <w:rPr>
          <w:rFonts w:ascii="Times New Roman" w:hAnsi="Times New Roman" w:cs="Times New Roman"/>
          <w:sz w:val="24"/>
          <w:szCs w:val="24"/>
        </w:rPr>
        <w:t xml:space="preserve">test for </w:t>
      </w:r>
      <w:r w:rsidR="003B5CC7">
        <w:rPr>
          <w:rFonts w:ascii="Times New Roman" w:hAnsi="Times New Roman" w:cs="Times New Roman"/>
          <w:sz w:val="24"/>
          <w:szCs w:val="24"/>
        </w:rPr>
        <w:t>both experts to proffer such testimony</w:t>
      </w:r>
      <w:r w:rsidR="00F148A4">
        <w:rPr>
          <w:rFonts w:ascii="Times New Roman" w:hAnsi="Times New Roman" w:cs="Times New Roman"/>
          <w:sz w:val="24"/>
          <w:szCs w:val="24"/>
        </w:rPr>
        <w:t>.</w:t>
      </w:r>
    </w:p>
    <w:sectPr w:rsidRPr="001F3F45" w:rsidR="001F3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E24B7" w:rsidP="00781715" w:rsidRDefault="008E24B7" w14:paraId="467DFE71" w14:textId="77777777">
      <w:pPr>
        <w:spacing w:after="0" w:line="240" w:lineRule="auto"/>
      </w:pPr>
      <w:r>
        <w:separator/>
      </w:r>
    </w:p>
  </w:endnote>
  <w:endnote w:type="continuationSeparator" w:id="0">
    <w:p w:rsidR="008E24B7" w:rsidP="00781715" w:rsidRDefault="008E24B7" w14:paraId="40A18CC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E24B7" w:rsidP="00781715" w:rsidRDefault="008E24B7" w14:paraId="42602FB8" w14:textId="77777777">
      <w:pPr>
        <w:spacing w:after="0" w:line="240" w:lineRule="auto"/>
      </w:pPr>
      <w:r>
        <w:separator/>
      </w:r>
    </w:p>
  </w:footnote>
  <w:footnote w:type="continuationSeparator" w:id="0">
    <w:p w:rsidR="008E24B7" w:rsidP="00781715" w:rsidRDefault="008E24B7" w14:paraId="29E55072" w14:textId="77777777">
      <w:pPr>
        <w:spacing w:after="0" w:line="240" w:lineRule="auto"/>
      </w:pPr>
      <w:r>
        <w:continuationSeparator/>
      </w:r>
    </w:p>
  </w:footnote>
  <w:footnote w:id="1">
    <w:p w:rsidR="00781715" w:rsidP="00C1697B" w:rsidRDefault="00781715" w14:paraId="6E5CD5CF" w14:textId="7F6664E8">
      <w:pPr>
        <w:pStyle w:val="FootnoteText"/>
        <w:jc w:val="both"/>
      </w:pPr>
      <w:r w:rsidRPr="00190D1C">
        <w:rPr>
          <w:rStyle w:val="FootnoteReference"/>
          <w:rFonts w:ascii="Times New Roman" w:hAnsi="Times New Roman" w:cs="Times New Roman"/>
        </w:rPr>
        <w:footnoteRef/>
      </w:r>
      <w:r w:rsidRPr="00190D1C">
        <w:rPr>
          <w:rFonts w:ascii="Times New Roman" w:hAnsi="Times New Roman" w:cs="Times New Roman"/>
        </w:rPr>
        <w:t xml:space="preserve"> </w:t>
      </w:r>
      <w:r w:rsidRPr="00190D1C" w:rsidR="00190D1C">
        <w:rPr>
          <w:rFonts w:ascii="Times New Roman" w:hAnsi="Times New Roman" w:cs="Times New Roman"/>
        </w:rPr>
        <w:t>The Helsinki Criteria state that the risk of developing lung cancer is materially increased, even without asbestosis, under the following conditions: (1) one year of heavy exposure, or 5 to 10 years of moderate exposure; (2) estimated cumulative exposures to mixed asbestos fibers of 25 fibers per milliliter per year; (3) a lung fiber burden within the range recorded for asbestosis in the same laboratory; (4) retained fiber levels of 2 million amphibole fibers per gram of dry lung tissue or 5 million amphibole fibers per gram of dry lung tissue, as determined by electron microscopic analysis; and (5) asbestos body concentrations determined by light microscopic analysis greater than 10</w:t>
      </w:r>
      <w:r w:rsidR="00754161">
        <w:rPr>
          <w:rFonts w:ascii="Times New Roman" w:hAnsi="Times New Roman" w:cs="Times New Roman"/>
        </w:rPr>
        <w:t>,</w:t>
      </w:r>
      <w:r w:rsidRPr="00190D1C" w:rsidR="00190D1C">
        <w:rPr>
          <w:rFonts w:ascii="Times New Roman" w:hAnsi="Times New Roman" w:cs="Times New Roman"/>
        </w:rPr>
        <w:t> 000 per gram of dry lung tissue.</w:t>
      </w:r>
      <w:r w:rsidR="00754161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2393B"/>
    <w:multiLevelType w:val="hybridMultilevel"/>
    <w:tmpl w:val="5FFEF25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C34DA6"/>
    <w:multiLevelType w:val="hybridMultilevel"/>
    <w:tmpl w:val="559463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761B67"/>
    <w:multiLevelType w:val="multilevel"/>
    <w:tmpl w:val="C598C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B7357E"/>
    <w:multiLevelType w:val="hybridMultilevel"/>
    <w:tmpl w:val="2104F0A0"/>
    <w:lvl w:ilvl="0" w:tplc="4F20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84724"/>
    <w:multiLevelType w:val="hybridMultilevel"/>
    <w:tmpl w:val="77DE148C"/>
    <w:lvl w:ilvl="0" w:tplc="B6DA6E9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626633">
    <w:abstractNumId w:val="4"/>
  </w:num>
  <w:num w:numId="2" w16cid:durableId="1778678225">
    <w:abstractNumId w:val="3"/>
  </w:num>
  <w:num w:numId="3" w16cid:durableId="349373446">
    <w:abstractNumId w:val="1"/>
  </w:num>
  <w:num w:numId="4" w16cid:durableId="848836624">
    <w:abstractNumId w:val="0"/>
  </w:num>
  <w:num w:numId="5" w16cid:durableId="1787699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635"/>
    <w:rsid w:val="000218CB"/>
    <w:rsid w:val="00056C42"/>
    <w:rsid w:val="000A593D"/>
    <w:rsid w:val="000B01D8"/>
    <w:rsid w:val="000C4635"/>
    <w:rsid w:val="000C6D88"/>
    <w:rsid w:val="00100E8F"/>
    <w:rsid w:val="00110958"/>
    <w:rsid w:val="00133F2A"/>
    <w:rsid w:val="00143CE6"/>
    <w:rsid w:val="001828B2"/>
    <w:rsid w:val="00190D1C"/>
    <w:rsid w:val="001C5C67"/>
    <w:rsid w:val="001D6756"/>
    <w:rsid w:val="001F3F45"/>
    <w:rsid w:val="002044DD"/>
    <w:rsid w:val="0025510F"/>
    <w:rsid w:val="002715F1"/>
    <w:rsid w:val="002B0F9A"/>
    <w:rsid w:val="002B3702"/>
    <w:rsid w:val="002C332B"/>
    <w:rsid w:val="002D1133"/>
    <w:rsid w:val="002D7F67"/>
    <w:rsid w:val="00333B25"/>
    <w:rsid w:val="003B0337"/>
    <w:rsid w:val="003B5CC7"/>
    <w:rsid w:val="003D22B3"/>
    <w:rsid w:val="003E34B3"/>
    <w:rsid w:val="00402367"/>
    <w:rsid w:val="0043367C"/>
    <w:rsid w:val="004A071A"/>
    <w:rsid w:val="004C1267"/>
    <w:rsid w:val="004E25BC"/>
    <w:rsid w:val="005055D2"/>
    <w:rsid w:val="00513346"/>
    <w:rsid w:val="00515D40"/>
    <w:rsid w:val="005160E9"/>
    <w:rsid w:val="00555B54"/>
    <w:rsid w:val="005A2FB1"/>
    <w:rsid w:val="005C63A8"/>
    <w:rsid w:val="005D55AB"/>
    <w:rsid w:val="006314B1"/>
    <w:rsid w:val="00635ED0"/>
    <w:rsid w:val="006504B4"/>
    <w:rsid w:val="0067484E"/>
    <w:rsid w:val="00685EEC"/>
    <w:rsid w:val="006C3093"/>
    <w:rsid w:val="00730980"/>
    <w:rsid w:val="00754161"/>
    <w:rsid w:val="00761824"/>
    <w:rsid w:val="007741C0"/>
    <w:rsid w:val="00781715"/>
    <w:rsid w:val="007C11A3"/>
    <w:rsid w:val="007C3B62"/>
    <w:rsid w:val="007C5E0C"/>
    <w:rsid w:val="007E679E"/>
    <w:rsid w:val="007E7556"/>
    <w:rsid w:val="00800B12"/>
    <w:rsid w:val="00853D6E"/>
    <w:rsid w:val="008914C2"/>
    <w:rsid w:val="008D59F6"/>
    <w:rsid w:val="008E24B7"/>
    <w:rsid w:val="009100E9"/>
    <w:rsid w:val="00946BAC"/>
    <w:rsid w:val="00947711"/>
    <w:rsid w:val="009C5FBE"/>
    <w:rsid w:val="00A207B6"/>
    <w:rsid w:val="00A22EDD"/>
    <w:rsid w:val="00A778BF"/>
    <w:rsid w:val="00AB7526"/>
    <w:rsid w:val="00B518F9"/>
    <w:rsid w:val="00B57E96"/>
    <w:rsid w:val="00B61EAD"/>
    <w:rsid w:val="00BA13EE"/>
    <w:rsid w:val="00BA15E6"/>
    <w:rsid w:val="00BC6E89"/>
    <w:rsid w:val="00BE6DDC"/>
    <w:rsid w:val="00C16778"/>
    <w:rsid w:val="00C1697B"/>
    <w:rsid w:val="00C21AD2"/>
    <w:rsid w:val="00CC36E2"/>
    <w:rsid w:val="00CC4D23"/>
    <w:rsid w:val="00CD525F"/>
    <w:rsid w:val="00CD59DD"/>
    <w:rsid w:val="00CF4A5D"/>
    <w:rsid w:val="00D13DDD"/>
    <w:rsid w:val="00D578BF"/>
    <w:rsid w:val="00D64C1F"/>
    <w:rsid w:val="00D83DDC"/>
    <w:rsid w:val="00DD1661"/>
    <w:rsid w:val="00E2471A"/>
    <w:rsid w:val="00EC1C12"/>
    <w:rsid w:val="00F148A4"/>
    <w:rsid w:val="00F279FC"/>
    <w:rsid w:val="00F72F46"/>
    <w:rsid w:val="00FF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B5586"/>
  <w15:chartTrackingRefBased/>
  <w15:docId w15:val="{B0C5807F-CE94-44AA-800E-80BB95C6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463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63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6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6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C463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C463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C463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C463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C463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C463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C463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C463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C46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63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C463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C4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63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C46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6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6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63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C46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63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E7556"/>
    <w:pPr>
      <w:spacing w:after="0" w:line="240" w:lineRule="auto"/>
    </w:pPr>
  </w:style>
  <w:style w:type="paragraph" w:styleId="Revision">
    <w:name w:val="Revision"/>
    <w:hidden/>
    <w:uiPriority w:val="99"/>
    <w:semiHidden/>
    <w:rsid w:val="007E679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C5F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5FB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C5F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FB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C5FB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171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7817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1715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90D1C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5416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54161"/>
  </w:style>
  <w:style w:type="paragraph" w:styleId="Footer">
    <w:name w:val="footer"/>
    <w:basedOn w:val="Normal"/>
    <w:link w:val="FooterChar"/>
    <w:uiPriority w:val="99"/>
    <w:unhideWhenUsed/>
    <w:rsid w:val="0075416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54161"/>
  </w:style>
  <w:style w:type="character" w:styleId="Hyperlink">
    <w:name w:val="Hyperlink"/>
    <w:basedOn w:val="DefaultParagraphFont"/>
    <w:uiPriority w:val="99"/>
    <w:unhideWhenUsed/>
    <w:rsid w:val="007541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1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1900-01-01T05:00:00.0000000Z</dcterms:created>
  <dcterms:modified xsi:type="dcterms:W3CDTF">1900-01-01T05:00:00.0000000Z</dcterms:modified>
</coreProperties>
</file>